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24"/>
          <w:tab w:val="left" w:pos="5537"/>
          <w:tab w:val="left" w:pos="7663"/>
        </w:tabs>
        <w:autoSpaceDE w:val="0"/>
        <w:autoSpaceDN w:val="0"/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安徽省重点研究与开发计划农业科技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领域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  <w:t>一、生物育种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（一）水稻新品种选育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围绕两系杂交水稻育种，开展杂合雄性不育的杂交水稻育种技术研究，聚合优质高抗基因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，选育优质、高产、多抗杂交稻新品种，并进行规模化示范应用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；针对江淮区域高温热害严重威胁水稻生长问题，选育高产、优质、耐高温水稻新品种，并进行规模化示范应用；针对杂交水稻制种和生产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机械化程度低等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问题，定位克隆与水稻机械化轻减化特性主要基因，培育优异水稻新组合，并进行规模化示范应用；针对机收再生稻抗碾压品种缺乏、周年产能不高等问题，创制高再生力优质水稻品种，研发适宜再生稻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配套装备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；围绕创制抗除草剂水稻种质资源，解析作物抗除草剂新基因作用机制，选育适于配套生态安全型除草剂的高产稳产水稻品种。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（二）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小麦、玉米等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新品种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选育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开展小麦等作物加速迭代遗传机制及关键基因研究，建立主要作物植物工厂环境下加速技术体系，缩短育种周期；选育优质多抗突破性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粮食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新品种，优选和研制相关配套装备，研发稻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麦（油）轮作区绿色肥料专用产品以及靶向绿色农药新制剂；开展高通量抗小麦赤霉病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基因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突变创制及抗性鉴定，培育优质、高产、绿色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抗赤霉病小麦新品种；开发玉米高效遗传转化和多基因编辑双元载体及转化技术，育成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优质、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多抗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高产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突破性玉米品种。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）油料新品种选育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围绕油料作物抗除草剂、耐高温、耐密植、高油酸、高蛋白、低嘌呤、低芥酸、低硫甙等性状和多用途多功能利用需求，开展种质资源创制、高效智能化杂交育种技术研发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选育适合机械化收获、高产、优质、抗逆的突破性新品种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选育“油蔬两用”油菜新品种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研发加工品产量、品质协同提升的一种两收栽培技术体系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加工质量控制关键技术体系，大幅度提高综合效益。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）优质果蔬新品种选育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围绕优质果蔬遗传基础狭窄的种源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卡脖子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问题，开展重要性状调控基因研究。构建桃体细胞变异分子鉴定体系，创制极早熟或极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熟桃优质性状的突破性种质资源群，育成优质新品种；挖掘猕猴桃溃疡病抗性基因，创制优质抗溃疡病新种质，育成优质新品种，并集成配套栽培技术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开展辣椒种质资源突破性材料创制，选育抗枯萎病、特殊风味、具备早春或秋延后显著性状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适合机械化采收的辣椒新品种，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集成构建辣椒种子纯度、品质高通量快速检测体系，完善辣椒商业化育种模式。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）畜禽新品种（品系）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选育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针对安徽地方特色畜禽品种，开展地方猪遗传材料保存技术研发和基因库建设，挖掘种质关键基因，选育地方猪新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品种或新品系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；研究调控地方土鸡特色性状关键基因，创制优质肉鸡配套用专门化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品系，培育优质肉鸡新品种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；研究地方肉牛品种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品质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风味遗传参数，构建适用于地方优质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遗传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资源综合技术体系，实现地方牛高效精准育种，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集成示范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高效养殖技术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，大幅度提高综合效益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）水产新品种选育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围绕水产品种选育中的新技术、新种质，挖掘性腺发育功能调控基因，研究调控基因在发育过程中的作用及机制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创制系列新种质、新品种，开发配套养殖技术体系，实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规模化应用。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  <w:t>二、智慧农业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4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（一）粮油作物智能农机装备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围绕我省主要粮油作物播种、植保、收获、贮藏等关键环节，重点开展智能化播种、混合动力收获、高效智能施药以及智能烘干等关键技术和装备研发。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4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（二）农机薄弱环节补短板装备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围绕丘陵山区经济作物耕整地、农产品初加工等农机装备薄弱环节，重点开展高性能微耕机、农产品智能分选装备和包装装备研发。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4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（三）智慧农业共性技术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0"/>
        <w:jc w:val="both"/>
        <w:textAlignment w:val="auto"/>
        <w:outlineLvl w:val="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/>
        </w:rPr>
        <w:t>围绕农业生产全过程中的信息感知、传感器、身份认证芯片、数智化平台以及智能化集成系统等方向，重点开展作物智慧育种传感器、耕地质量原位监测、动物数智化服务系统、智能化生产等新技术和新装备研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  <w:t>三、耕地质量保护与提升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/>
        </w:rPr>
        <w:t>（一）皖北砂姜黑土改良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/>
        </w:rPr>
        <w:t>针对砂姜黑土耕层浅、胀缩性强、障碍因子消减机制不清、与地力提升配套的新型农业机械装备缺乏等科技问题，研发精准高效的砂姜黑土耕地地力提升关键技术产品与装备，创新构建结构障碍消减与产能提升的综合技术模式，并进行示范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（二）江淮低产稻田改良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针对江淮中低产稻田土壤通透性差、养分失衡、冬闲稻田面积大等问题，集成减障提质关键技术，研发培肥改良产品及绿肥新品种，构建减障提质与产能提升的综合技术模式，并进行示范应用。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（三）皖南黄红壤改良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/>
        </w:rPr>
        <w:t>针对皖南黄红壤“酸、瘦”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/>
        </w:rPr>
        <w:t>消减技术体系不完善和阻控产品缺乏的问题，创制降酸材料和土壤改良产品，研发酸化阻控配套技术，构建以“降、阻、控、培”为核心的黄红壤耕地产能提升技术模式，并进行示范应用。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（四）复垦耕地改良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非粮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非农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耕地土壤结构恶化和盐渍化突出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问题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，通过土壤层结构快速重构与熟化、微生物健康生态系统重建等技术，研发配套产品，构建土壤健康恢复技术体系，并进行应用示范。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四、绿色食品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食品生物技术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针对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发酵食品微生物种质资源限制、发酵调控技术落后、产业智能化水平低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问题，建设系列发酵食品菌种资源系统，构建“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菌种选育、微生物强化、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优化、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品质提升”的发酵食品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生物技术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体系，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创制新型发酵食品，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我省食品生物制造提质增效和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产业落地。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z w:val="32"/>
          <w:szCs w:val="32"/>
          <w:highlight w:val="none"/>
          <w:lang w:val="en-US"/>
        </w:rPr>
        <w:t>）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粮油加工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针对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我省优质粮油原料和加工产品缺乏的问题，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以江淮低值早籼米、中低筋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小麦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为原料，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产品加工精准营养调控与提质保鲜关键技术，建立主食产品的全产业链标准体系，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创制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化和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智能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加工装备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，开发新型主食产品；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菜籽、芝麻与茶籽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等油料农产品为原料，研究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油料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产地与食用油品质形成关系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绿色精炼关键技术，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高效节能的智能柔性加工技术产业体系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创制江淮特色功能性油脂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高值化产品。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畜禽水产加工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解析畜禽水产在预制加工过程中物性变化规律和化学组分互作特点，探明化学性和生物性危害物在预制、加工和贮藏过程的消长规律，研发预制加工危害物消减和特征品质调控技术，创制高效冷冻、非热杀菌等绿色低碳和高效加工关键装备，集成预制产品品质保持、安全品质提升技术和装备，开发符合消费者需求的预制菜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（四）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果蔬林特加工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针对我省果蔬林特农产品加工技术和产品短缺问题，以梨、桃等水果为对象，研究真空冷冻干燥、低温浓缩和高阻隔品质保持技术，开发新型水果加工产品；以食用菌为对象，创建分类加工适应性标准，研究食用菌预制菜原材料预处理技术、预制菜调理、功能活性物质高效提取技术，研制富含菌物多糖、菌物蛋白等高附加值健康新产品；以坚果为对象，研究原料贮存过程中脂类与蛋白质劣变机制，创建坚果原料品质和新鲜度的甄别技术方法，开发高阻湿阻氧包装材料和自动可控化充氮气调技术，创制高价值高品质坚果新产品及配套智能自动控制装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（五）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农产品资源综合利用</w:t>
      </w:r>
    </w:p>
    <w:p>
      <w:pPr>
        <w:pStyle w:val="6"/>
        <w:rPr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针对目前我省农作物资源利用度不高、高值化加工技术不足的难题，以秸秆为对象，研究秸秆高效木质纤维素复合酶生产及综纤维素酶解糖化技术，突破秸秆揉搓-稀碱联合预处理方法，研发秸秆糖渣生产优质黄腐酸肥料技术，开发秸秆混合糖发酵高光学纯乳酸新工艺，创制秸秆制糖预处理、膜过滤成套装备，大幅度提升秸秆制糖规模。</w:t>
      </w:r>
      <w:bookmarkStart w:id="0" w:name="_GoBack"/>
      <w:bookmarkEnd w:id="0"/>
    </w:p>
    <w:sectPr>
      <w:pgSz w:w="11906" w:h="16838"/>
      <w:pgMar w:top="2098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F341D"/>
    <w:rsid w:val="2BFFCBA4"/>
    <w:rsid w:val="2EC8700E"/>
    <w:rsid w:val="367ED5FD"/>
    <w:rsid w:val="3BAF6E35"/>
    <w:rsid w:val="3BF92E27"/>
    <w:rsid w:val="3DFE1CBC"/>
    <w:rsid w:val="4FFB74FE"/>
    <w:rsid w:val="5EB3E0AB"/>
    <w:rsid w:val="5EBAEB1E"/>
    <w:rsid w:val="5FC9B9AF"/>
    <w:rsid w:val="6BBF341D"/>
    <w:rsid w:val="6DFE9392"/>
    <w:rsid w:val="6FBF80B0"/>
    <w:rsid w:val="6FC756BA"/>
    <w:rsid w:val="758E53E2"/>
    <w:rsid w:val="77EE8F6C"/>
    <w:rsid w:val="7DFE21E9"/>
    <w:rsid w:val="7ED64C3D"/>
    <w:rsid w:val="7F3FB785"/>
    <w:rsid w:val="8FDE39FC"/>
    <w:rsid w:val="93BFFCE2"/>
    <w:rsid w:val="9DFF9636"/>
    <w:rsid w:val="9EF89444"/>
    <w:rsid w:val="AFA63C9A"/>
    <w:rsid w:val="B9FB2BB8"/>
    <w:rsid w:val="BABD1877"/>
    <w:rsid w:val="BACF5F3B"/>
    <w:rsid w:val="BDFFA276"/>
    <w:rsid w:val="C5D3FE38"/>
    <w:rsid w:val="C71E9ACB"/>
    <w:rsid w:val="D67FB8D0"/>
    <w:rsid w:val="DC7FCF47"/>
    <w:rsid w:val="ED5AFF7D"/>
    <w:rsid w:val="EFAF19D6"/>
    <w:rsid w:val="EFE7E140"/>
    <w:rsid w:val="EFE9FADC"/>
    <w:rsid w:val="EFF5DFBD"/>
    <w:rsid w:val="EFF9E5D9"/>
    <w:rsid w:val="F1EFFF9F"/>
    <w:rsid w:val="F3FFCAF7"/>
    <w:rsid w:val="F7F3E9DD"/>
    <w:rsid w:val="FF61FD35"/>
    <w:rsid w:val="FFDE74C5"/>
    <w:rsid w:val="FFF7A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90" w:lineRule="exact"/>
      <w:ind w:firstLine="640" w:firstLineChars="200"/>
      <w:outlineLvl w:val="1"/>
    </w:pPr>
    <w:rPr>
      <w:rFonts w:ascii="Times New Roman" w:hAnsi="Times New Roman" w:eastAsia="方正楷体_GBK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90" w:lineRule="exact"/>
      <w:ind w:firstLine="640" w:firstLineChars="200"/>
      <w:outlineLvl w:val="2"/>
    </w:pPr>
    <w:rPr>
      <w:rFonts w:eastAsia="方正楷体_GBK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outlineLvl w:val="3"/>
    </w:pPr>
    <w:rPr>
      <w:rFonts w:ascii="Arial" w:hAnsi="Arial" w:eastAsia="方正黑体_GBK"/>
      <w:b/>
      <w:sz w:val="36"/>
    </w:rPr>
  </w:style>
  <w:style w:type="character" w:default="1" w:styleId="1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a heading"/>
    <w:next w:val="1"/>
    <w:qFormat/>
    <w:uiPriority w:val="0"/>
    <w:pPr>
      <w:widowControl w:val="0"/>
      <w:spacing w:before="120" w:beforeLines="0" w:beforeAutospacing="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9"/>
    <w:qFormat/>
    <w:uiPriority w:val="0"/>
    <w:pPr>
      <w:spacing w:after="120" w:line="590" w:lineRule="exact"/>
      <w:ind w:firstLine="880" w:firstLineChars="200"/>
    </w:pPr>
    <w:rPr>
      <w:rFonts w:ascii="Times New Roman" w:hAnsi="Times New Roman" w:eastAsia="仿宋_GB2312"/>
    </w:rPr>
  </w:style>
  <w:style w:type="paragraph" w:styleId="9">
    <w:name w:val="Body Text 2"/>
    <w:qFormat/>
    <w:uiPriority w:val="0"/>
    <w:pPr>
      <w:widowControl/>
      <w:spacing w:line="600" w:lineRule="exact"/>
      <w:ind w:firstLine="880" w:firstLineChars="200"/>
      <w:jc w:val="center"/>
    </w:pPr>
    <w:rPr>
      <w:rFonts w:ascii="楷体_GB2312" w:hAnsi="Calibri" w:eastAsia="楷体_GB2312" w:cs="Times New Roman"/>
      <w:kern w:val="2"/>
      <w:sz w:val="20"/>
      <w:szCs w:val="32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List"/>
    <w:basedOn w:val="8"/>
    <w:next w:val="1"/>
    <w:qFormat/>
    <w:uiPriority w:val="0"/>
    <w:pPr>
      <w:spacing w:line="590" w:lineRule="exact"/>
    </w:pPr>
    <w:rPr>
      <w:rFonts w:ascii="Calibri" w:hAnsi="Calibri" w:eastAsia="方正黑体_GBK" w:cs="Times New Roman"/>
      <w:color w:val="auto"/>
      <w:sz w:val="36"/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5">
    <w:name w:val="样式2"/>
    <w:basedOn w:val="1"/>
    <w:next w:val="1"/>
    <w:qFormat/>
    <w:uiPriority w:val="0"/>
    <w:rPr>
      <w:rFonts w:asciiTheme="minorAscii" w:hAnsiTheme="minorAscii"/>
      <w:szCs w:val="22"/>
    </w:rPr>
  </w:style>
  <w:style w:type="paragraph" w:customStyle="1" w:styleId="16">
    <w:name w:val="样式3"/>
    <w:basedOn w:val="1"/>
    <w:qFormat/>
    <w:uiPriority w:val="0"/>
    <w:rPr>
      <w:rFonts w:eastAsia="仿宋_GB2312" w:asciiTheme="minorAscii" w:hAnsiTheme="minorAscii"/>
      <w:sz w:val="32"/>
    </w:rPr>
  </w:style>
  <w:style w:type="paragraph" w:customStyle="1" w:styleId="17">
    <w:name w:val="附件"/>
    <w:basedOn w:val="1"/>
    <w:next w:val="1"/>
    <w:qFormat/>
    <w:uiPriority w:val="0"/>
    <w:rPr>
      <w:rFonts w:ascii="Times New Roman" w:hAnsi="Times New Roman" w:eastAsia="方正黑体_GBK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2023-05-01T02:14:00Z</dcterms:created>
  <dc:creator>guest</dc:creator>
  <cp:lastModifiedBy>ygc</cp:lastModifiedBy>
  <cp:lastPrinted>2023-04-30T03:24:00Z</cp:lastPrinted>
  <dcterms:modified xsi:type="dcterms:W3CDTF">2023-04-28T14:18:17Z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