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840" w:type="dxa"/>
        <w:jc w:val="center"/>
        <w:tblCellSpacing w:w="0" w:type="dxa"/>
        <w:tblLayout w:type="fixed"/>
        <w:tblCellMar>
          <w:top w:w="0" w:type="dxa"/>
          <w:left w:w="0" w:type="dxa"/>
          <w:bottom w:w="0" w:type="dxa"/>
          <w:right w:w="0" w:type="dxa"/>
        </w:tblCellMar>
      </w:tblPr>
      <w:tblGrid>
        <w:gridCol w:w="9840"/>
      </w:tblGrid>
      <w:tr w14:paraId="7D681ECF">
        <w:tblPrEx>
          <w:tblCellMar>
            <w:top w:w="0" w:type="dxa"/>
            <w:left w:w="0" w:type="dxa"/>
            <w:bottom w:w="0" w:type="dxa"/>
            <w:right w:w="0" w:type="dxa"/>
          </w:tblCellMar>
        </w:tblPrEx>
        <w:trPr>
          <w:trHeight w:val="2436" w:hRule="atLeast"/>
          <w:tblCellSpacing w:w="0" w:type="dxa"/>
          <w:jc w:val="center"/>
        </w:trPr>
        <w:tc>
          <w:tcPr>
            <w:tcW w:w="9840" w:type="dxa"/>
            <w:vAlign w:val="center"/>
          </w:tcPr>
          <w:p w14:paraId="6AC7F542">
            <w:pPr>
              <w:widowControl/>
              <w:jc w:val="center"/>
              <w:rPr>
                <w:rFonts w:ascii="宋体" w:hAnsi="宋体" w:cs="宋体"/>
                <w:b/>
                <w:bCs/>
                <w:color w:val="FF0000"/>
                <w:kern w:val="0"/>
                <w:sz w:val="84"/>
              </w:rPr>
            </w:pPr>
            <w:r>
              <w:rPr>
                <w:rFonts w:ascii="宋体" w:hAnsi="宋体" w:cs="宋体"/>
                <w:b/>
                <w:bCs/>
                <w:color w:val="FF0000"/>
                <w:kern w:val="0"/>
                <w:sz w:val="84"/>
              </w:rPr>
              <w:drawing>
                <wp:inline distT="0" distB="0" distL="114300" distR="114300">
                  <wp:extent cx="5273675" cy="720090"/>
                  <wp:effectExtent l="0" t="0" r="14605" b="11430"/>
                  <wp:docPr id="1" name="图片 1" descr="建筑大学文头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建筑大学文头2-02"/>
                          <pic:cNvPicPr>
                            <a:picLocks noChangeAspect="1"/>
                          </pic:cNvPicPr>
                        </pic:nvPicPr>
                        <pic:blipFill>
                          <a:blip r:embed="rId5"/>
                          <a:stretch>
                            <a:fillRect/>
                          </a:stretch>
                        </pic:blipFill>
                        <pic:spPr>
                          <a:xfrm>
                            <a:off x="0" y="0"/>
                            <a:ext cx="5273675" cy="720090"/>
                          </a:xfrm>
                          <a:prstGeom prst="rect">
                            <a:avLst/>
                          </a:prstGeom>
                          <a:noFill/>
                          <a:ln>
                            <a:noFill/>
                          </a:ln>
                        </pic:spPr>
                      </pic:pic>
                    </a:graphicData>
                  </a:graphic>
                </wp:inline>
              </w:drawing>
            </w:r>
          </w:p>
          <w:p w14:paraId="6D9B1C91">
            <w:pPr>
              <w:widowControl/>
              <w:jc w:val="center"/>
              <w:rPr>
                <w:rFonts w:ascii="仿宋_GB2312"/>
                <w:szCs w:val="21"/>
              </w:rPr>
            </w:pPr>
            <w:bookmarkStart w:id="0" w:name="文件编号"/>
          </w:p>
          <w:bookmarkEnd w:id="0"/>
          <w:p w14:paraId="37DF62B0">
            <w:pPr>
              <w:widowControl/>
              <w:jc w:val="center"/>
              <w:rPr>
                <w:rFonts w:hint="eastAsia" w:ascii="宋体" w:hAnsi="宋体" w:eastAsia="仿宋_GB2312" w:cs="宋体"/>
                <w:kern w:val="0"/>
                <w:sz w:val="18"/>
                <w:szCs w:val="18"/>
                <w:lang w:eastAsia="zh-CN"/>
              </w:rPr>
            </w:pPr>
            <w:bookmarkStart w:id="1" w:name="PO_FILE_NO"/>
            <w:r>
              <w:rPr>
                <w:rFonts w:hint="eastAsia" w:ascii="仿宋_GB2312"/>
                <w:szCs w:val="32"/>
                <w:lang w:eastAsia="zh-CN"/>
              </w:rPr>
              <w:t>校字〔2024〕</w:t>
            </w:r>
            <w:r>
              <w:rPr>
                <w:rFonts w:hint="eastAsia" w:ascii="仿宋_GB2312"/>
                <w:szCs w:val="32"/>
                <w:lang w:val="en-US" w:eastAsia="zh-CN"/>
              </w:rPr>
              <w:t>35</w:t>
            </w:r>
            <w:r>
              <w:rPr>
                <w:rFonts w:hint="eastAsia" w:ascii="仿宋_GB2312"/>
                <w:szCs w:val="32"/>
                <w:lang w:eastAsia="zh-CN"/>
              </w:rPr>
              <w:t>号</w:t>
            </w:r>
            <w:bookmarkEnd w:id="1"/>
          </w:p>
        </w:tc>
      </w:tr>
      <w:tr w14:paraId="5CF84F82">
        <w:tblPrEx>
          <w:tblCellMar>
            <w:top w:w="0" w:type="dxa"/>
            <w:left w:w="0" w:type="dxa"/>
            <w:bottom w:w="0" w:type="dxa"/>
            <w:right w:w="0" w:type="dxa"/>
          </w:tblCellMar>
        </w:tblPrEx>
        <w:trPr>
          <w:trHeight w:val="406" w:hRule="atLeast"/>
          <w:tblCellSpacing w:w="0" w:type="dxa"/>
          <w:jc w:val="center"/>
        </w:trPr>
        <w:tc>
          <w:tcPr>
            <w:tcW w:w="9840" w:type="dxa"/>
            <w:vAlign w:val="center"/>
          </w:tcPr>
          <w:p w14:paraId="6E0ECCCF">
            <w:pPr>
              <w:widowControl/>
              <w:jc w:val="right"/>
              <w:rPr>
                <w:rFonts w:ascii="宋体" w:hAnsi="宋体" w:cs="宋体"/>
                <w:kern w:val="0"/>
                <w:sz w:val="18"/>
                <w:szCs w:val="18"/>
              </w:rPr>
            </w:pPr>
            <w:r>
              <w:rPr>
                <w:rFonts w:ascii="宋体" w:hAnsi="宋体" w:cs="宋体"/>
                <w:kern w:val="0"/>
                <w:sz w:val="18"/>
                <w:szCs w:val="18"/>
              </w:rPr>
              <w:pict>
                <v:rect id="_x0000_i1025" o:spt="1" style="height:1.5pt;width:0.05pt;" fillcolor="#FF0000" filled="t" stroked="f" coordsize="21600,21600" o:hr="t" o:hrstd="t" o:hrnoshade="t" o:hralign="center">
                  <v:path/>
                  <v:fill on="t" focussize="0,0"/>
                  <v:stroke on="f"/>
                  <v:imagedata o:title=""/>
                  <o:lock v:ext="edit"/>
                  <w10:wrap type="none"/>
                  <w10:anchorlock/>
                </v:rect>
              </w:pict>
            </w:r>
          </w:p>
        </w:tc>
      </w:tr>
    </w:tbl>
    <w:p w14:paraId="325B1A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仿宋_GB2312" w:cs="宋体"/>
          <w:b/>
          <w:bCs/>
          <w:sz w:val="44"/>
          <w:szCs w:val="44"/>
          <w:lang w:eastAsia="zh-CN"/>
        </w:rPr>
      </w:pPr>
      <w:bookmarkStart w:id="2" w:name="PO_TITLE"/>
      <w:r>
        <w:rPr>
          <w:rFonts w:hint="eastAsia" w:ascii="宋体" w:hAnsi="宋体" w:eastAsia="宋体" w:cs="宋体"/>
          <w:b/>
          <w:bCs/>
          <w:sz w:val="44"/>
          <w:szCs w:val="44"/>
          <w:lang w:eastAsia="zh-CN"/>
        </w:rPr>
        <w:t>关于印发《安徽建筑大学基本建设管理办法》的通知</w:t>
      </w:r>
      <w:bookmarkEnd w:id="2"/>
    </w:p>
    <w:p w14:paraId="46C239DE">
      <w:pPr>
        <w:spacing w:line="560" w:lineRule="exact"/>
        <w:rPr>
          <w:rFonts w:hint="eastAsia" w:ascii="仿宋_GB2312" w:hAnsi="仿宋_GB2312" w:cs="仿宋_GB2312"/>
          <w:b/>
          <w:bCs/>
          <w:lang w:eastAsia="zh-CN"/>
        </w:rPr>
      </w:pPr>
      <w:bookmarkStart w:id="3" w:name="PO_Content"/>
    </w:p>
    <w:p w14:paraId="47E6A189">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hAnsi="仿宋_GB2312" w:eastAsia="仿宋_GB2312" w:cs="仿宋_GB2312"/>
          <w:b w:val="0"/>
          <w:bCs w:val="0"/>
          <w:lang w:eastAsia="zh-CN"/>
        </w:rPr>
      </w:pPr>
      <w:r>
        <w:rPr>
          <w:rFonts w:hint="eastAsia" w:ascii="仿宋_GB2312" w:hAnsi="仿宋_GB2312" w:cs="仿宋_GB2312"/>
          <w:b w:val="0"/>
          <w:bCs w:val="0"/>
          <w:lang w:val="en-US" w:eastAsia="zh-CN"/>
        </w:rPr>
        <w:t>校属各单位</w:t>
      </w:r>
      <w:r>
        <w:rPr>
          <w:rFonts w:hint="eastAsia" w:ascii="仿宋_GB2312" w:hAnsi="仿宋_GB2312" w:cs="仿宋_GB2312"/>
          <w:b w:val="0"/>
          <w:bCs w:val="0"/>
          <w:lang w:eastAsia="zh-CN"/>
        </w:rPr>
        <w:t>：</w:t>
      </w:r>
    </w:p>
    <w:p w14:paraId="45A2418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cs="仿宋_GB2312"/>
          <w:lang w:val="en-US" w:eastAsia="zh-CN"/>
        </w:rPr>
      </w:pPr>
      <w:r>
        <w:rPr>
          <w:rFonts w:hint="eastAsia" w:ascii="仿宋_GB2312" w:hAnsi="仿宋_GB2312" w:eastAsia="仿宋_GB2312" w:cs="仿宋_GB2312"/>
        </w:rPr>
        <w:t>《安徽建筑大学基本建设管理办法》</w:t>
      </w:r>
      <w:r>
        <w:rPr>
          <w:rFonts w:hint="eastAsia" w:ascii="仿宋_GB2312" w:hAnsi="仿宋_GB2312" w:cs="仿宋_GB2312"/>
          <w:lang w:val="en-US" w:eastAsia="zh-CN"/>
        </w:rPr>
        <w:t>已经校长办公会议审议通过，现予印发，请遵照实施。</w:t>
      </w:r>
      <w:bookmarkStart w:id="8" w:name="_GoBack"/>
      <w:bookmarkEnd w:id="8"/>
    </w:p>
    <w:p w14:paraId="306979E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cs="仿宋_GB2312"/>
          <w:lang w:val="en-US" w:eastAsia="zh-CN"/>
        </w:rPr>
      </w:pPr>
    </w:p>
    <w:p w14:paraId="11D9D56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cs="仿宋_GB2312"/>
          <w:lang w:val="en-US" w:eastAsia="zh-CN"/>
        </w:rPr>
      </w:pPr>
    </w:p>
    <w:p w14:paraId="0822239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cs="仿宋_GB2312"/>
          <w:lang w:val="en-US" w:eastAsia="zh-CN"/>
        </w:rPr>
      </w:pPr>
      <w:r>
        <w:rPr>
          <w:rFonts w:hint="eastAsia" w:ascii="仿宋_GB2312" w:hAnsi="仿宋_GB2312" w:cs="仿宋_GB2312"/>
          <w:lang w:val="en-US" w:eastAsia="zh-CN"/>
        </w:rPr>
        <w:t xml:space="preserve">                    安徽建筑大学</w:t>
      </w:r>
    </w:p>
    <w:p w14:paraId="0BEE4BA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cs="仿宋_GB2312"/>
          <w:lang w:val="en-US" w:eastAsia="zh-CN"/>
        </w:rPr>
      </w:pPr>
      <w:r>
        <w:rPr>
          <w:rFonts w:hint="eastAsia" w:ascii="仿宋_GB2312" w:hAnsi="仿宋_GB2312" w:cs="仿宋_GB2312"/>
          <w:lang w:val="en-US" w:eastAsia="zh-CN"/>
        </w:rPr>
        <w:t xml:space="preserve">                    2024年6月19日</w:t>
      </w:r>
    </w:p>
    <w:p w14:paraId="0DA8737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cs="仿宋_GB2312"/>
          <w:lang w:val="en-US" w:eastAsia="zh-CN"/>
        </w:rPr>
      </w:pPr>
    </w:p>
    <w:p w14:paraId="0E5567A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cs="仿宋_GB2312"/>
          <w:lang w:val="en-US" w:eastAsia="zh-CN"/>
        </w:rPr>
      </w:pPr>
    </w:p>
    <w:p w14:paraId="31C5195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cs="仿宋_GB2312"/>
          <w:lang w:val="en-US" w:eastAsia="zh-CN"/>
        </w:rPr>
      </w:pPr>
    </w:p>
    <w:p w14:paraId="7D7FE48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cs="仿宋_GB2312"/>
          <w:lang w:val="en-US" w:eastAsia="zh-CN"/>
        </w:rPr>
      </w:pPr>
    </w:p>
    <w:p w14:paraId="7851F7C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cs="仿宋_GB2312"/>
          <w:lang w:val="en-US" w:eastAsia="zh-CN"/>
        </w:rPr>
      </w:pPr>
    </w:p>
    <w:p w14:paraId="3A1CB4A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cs="仿宋_GB2312"/>
          <w:lang w:val="en-US" w:eastAsia="zh-CN"/>
        </w:rPr>
      </w:pPr>
    </w:p>
    <w:p w14:paraId="4A76C91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cs="仿宋_GB2312"/>
          <w:lang w:val="en-US" w:eastAsia="zh-CN"/>
        </w:rPr>
      </w:pPr>
    </w:p>
    <w:p w14:paraId="37CCD5C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cs="仿宋_GB2312"/>
          <w:lang w:val="en-US" w:eastAsia="zh-CN"/>
        </w:rPr>
      </w:pPr>
    </w:p>
    <w:p w14:paraId="0459B6CC">
      <w:pPr>
        <w:keepNext/>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outlineLvl w:val="0"/>
        <w:rPr>
          <w:rFonts w:hint="eastAsia" w:ascii="+西文正文" w:hAnsi="+西文正文" w:eastAsia="+中文正文" w:cs="Times New Roman"/>
          <w:b/>
          <w:color w:val="auto"/>
          <w:kern w:val="44"/>
          <w:sz w:val="44"/>
          <w:szCs w:val="24"/>
          <w:highlight w:val="none"/>
          <w:lang w:val="en-US" w:eastAsia="zh-CN" w:bidi="ar-SA"/>
        </w:rPr>
      </w:pPr>
      <w:r>
        <w:rPr>
          <w:rFonts w:hint="eastAsia" w:ascii="宋体" w:hAnsi="宋体" w:eastAsia="宋体" w:cs="宋体"/>
          <w:b/>
          <w:color w:val="auto"/>
          <w:kern w:val="44"/>
          <w:sz w:val="44"/>
          <w:szCs w:val="24"/>
          <w:highlight w:val="none"/>
          <w:lang w:val="en-US" w:eastAsia="zh-CN" w:bidi="ar-SA"/>
        </w:rPr>
        <w:t>安徽建筑大学基本建设管理办法</w:t>
      </w:r>
    </w:p>
    <w:p w14:paraId="31FDDD65">
      <w:pPr>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Times New Roman"/>
          <w:szCs w:val="24"/>
        </w:rPr>
      </w:pPr>
    </w:p>
    <w:p w14:paraId="7ABF064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eastAsia"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第一章 总 则</w:t>
      </w:r>
    </w:p>
    <w:p w14:paraId="0CBCF1FA">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为进一步规范和加强学校基本建设管理工作，提高决策水平，保证投资效益，促进学校事业持续健康发展，根据国家有关法律法规和相关政策，结合我校实际情况，制定本办法。</w:t>
      </w:r>
    </w:p>
    <w:p w14:paraId="26BB5F70">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学校建设用地征用、校园建设总体规划的编制，新建、改建、扩建等基本建设项目的管理适用于本办法。</w:t>
      </w:r>
    </w:p>
    <w:p w14:paraId="4DFA5496">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国有资产管理处（基建办）</w:t>
      </w:r>
      <w:r>
        <w:rPr>
          <w:rFonts w:hint="default" w:ascii="仿宋_GB2312" w:hAnsi="仿宋_GB2312" w:eastAsia="仿宋_GB2312" w:cs="Times New Roman"/>
          <w:color w:val="auto"/>
          <w:kern w:val="2"/>
          <w:sz w:val="32"/>
          <w:szCs w:val="24"/>
          <w:highlight w:val="none"/>
          <w:lang w:val="en-US" w:eastAsia="zh-CN" w:bidi="ar-SA"/>
        </w:rPr>
        <w:t>是学校基本建设管理的职能部门，负责征用报批校园建设用地，编制报审校园规划，建立项目储备库，报批报备建设项目，组织实施及公开项目信息，落实项目建设。</w:t>
      </w:r>
    </w:p>
    <w:p w14:paraId="12F7AB2D">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基本建设管理必须坚持依法依规、安全优质、资源节约、廉洁自律的原则，全面贯彻“安全、经济、美观、绿色、适用”的建设方针，遵守基本建设程序，严格执行“三重一大”决策制度，坚持先规划论证、后设计施工，确保工程质量，最大限度发挥资金使用效益。</w:t>
      </w:r>
    </w:p>
    <w:p w14:paraId="44FD663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eastAsia"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第二章 校园建设用地征用</w:t>
      </w:r>
    </w:p>
    <w:p w14:paraId="3CE25102">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eastAsia"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学校因事业发展确需进行校园建设用地征用的，需立足自身办学定位和办学能力，统筹谋划、科学论证、集体决策。</w:t>
      </w:r>
    </w:p>
    <w:p w14:paraId="37411009">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eastAsia"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学校建设用地征用前，须经省教育厅审核同意后方可实施。应包括以下材料：</w:t>
      </w:r>
    </w:p>
    <w:p w14:paraId="08CD491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（一）请示文件；</w:t>
      </w:r>
    </w:p>
    <w:p w14:paraId="76A83FB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二）论证报告，包括学校基本情况、必要性和可行性（含国家地方经济社会发展需求、学校办学定位、发展目标、在校生规模、办学条件分析、建设选址和用地的初步方案）、主要建设内容及规模、投资估算和资金筹措方案、效益分析、专家论证意见、风险评估等内容；</w:t>
      </w:r>
    </w:p>
    <w:p w14:paraId="701D273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（三）学校决策会议纪要；</w:t>
      </w:r>
    </w:p>
    <w:p w14:paraId="377E9AF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（四）学校教代会执委会意见。</w:t>
      </w:r>
    </w:p>
    <w:p w14:paraId="05008D1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default"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第三章 校园规划管理</w:t>
      </w:r>
    </w:p>
    <w:p w14:paraId="42A684E7">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学校应当根据中长期的发展需求编制校园规划，校园规划应当贯彻保护环境、节地、节水、节能、节材的基本方针。</w:t>
      </w:r>
    </w:p>
    <w:p w14:paraId="7C377966">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校园规划是学校确定建设项目、开展基本建设的重要依据，校园规划应当坚持适用、经济、勤俭节约的原则，具有</w:t>
      </w:r>
      <w:r>
        <w:rPr>
          <w:rFonts w:hint="eastAsia" w:ascii="仿宋_GB2312" w:hAnsi="仿宋_GB2312" w:eastAsia="仿宋_GB2312" w:cs="Times New Roman"/>
          <w:color w:val="auto"/>
          <w:kern w:val="2"/>
          <w:sz w:val="32"/>
          <w:szCs w:val="24"/>
          <w:highlight w:val="none"/>
          <w:lang w:val="en-US" w:eastAsia="zh-CN" w:bidi="ar-SA"/>
        </w:rPr>
        <w:t>一定的</w:t>
      </w:r>
      <w:r>
        <w:rPr>
          <w:rFonts w:hint="default" w:ascii="仿宋_GB2312" w:hAnsi="仿宋_GB2312" w:eastAsia="仿宋_GB2312" w:cs="Times New Roman"/>
          <w:color w:val="auto"/>
          <w:kern w:val="2"/>
          <w:sz w:val="32"/>
          <w:szCs w:val="24"/>
          <w:highlight w:val="none"/>
          <w:lang w:val="en-US" w:eastAsia="zh-CN" w:bidi="ar-SA"/>
        </w:rPr>
        <w:t>前瞻性、科学性、稳定性和权威性，不得随意变更。</w:t>
      </w:r>
    </w:p>
    <w:p w14:paraId="0B24610E">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w:t>
      </w:r>
      <w:r>
        <w:rPr>
          <w:rFonts w:hint="default" w:ascii="仿宋_GB2312" w:hAnsi="仿宋_GB2312" w:eastAsia="仿宋_GB2312" w:cs="Times New Roman"/>
          <w:color w:val="auto"/>
          <w:kern w:val="2"/>
          <w:sz w:val="32"/>
          <w:szCs w:val="24"/>
          <w:highlight w:val="none"/>
          <w:lang w:val="en-US" w:eastAsia="zh-CN" w:bidi="ar-SA"/>
        </w:rPr>
        <w:t>应当委托有相应资质的单位编制校园规划，组织专家评估论证，并按照有关规定公开相关信息，充分听取师生员工意见。</w:t>
      </w:r>
    </w:p>
    <w:p w14:paraId="3FB34EF8">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校园规划经地方规划部门批准或备案后，在校内公开发布并报送省教育厅备案。</w:t>
      </w:r>
    </w:p>
    <w:p w14:paraId="16EA184A">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应根据批准的校园规划，结合事业发展和财务能力，按照国家经济与社会发展规划周期，编制五年基本建设项目储备库，并报送省教育厅列入省教育建设项目储备库（以下简称“省项目储备库”）。省项目储备库中期可调整一次，未列入省项目储备库的项目，原则上不予审批或备案。</w:t>
      </w:r>
    </w:p>
    <w:p w14:paraId="0296A39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default"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第四章 项目审批管理</w:t>
      </w:r>
    </w:p>
    <w:p w14:paraId="122CE23B">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学校拟申请中央预算内投资、省级政府直接投资的建设项目，</w:t>
      </w:r>
      <w:r>
        <w:rPr>
          <w:rFonts w:hint="eastAsia" w:ascii="仿宋_GB2312" w:hAnsi="仿宋_GB2312" w:eastAsia="仿宋_GB2312" w:cs="Times New Roman"/>
          <w:color w:val="auto"/>
          <w:kern w:val="2"/>
          <w:sz w:val="32"/>
          <w:szCs w:val="24"/>
          <w:highlight w:val="none"/>
          <w:lang w:val="en-US" w:eastAsia="zh-CN" w:bidi="ar-SA"/>
        </w:rPr>
        <w:t>须经学校校长办公会、党委常委会审议通过，报</w:t>
      </w:r>
      <w:r>
        <w:rPr>
          <w:rFonts w:hint="default" w:ascii="仿宋_GB2312" w:hAnsi="仿宋_GB2312" w:eastAsia="仿宋_GB2312" w:cs="Times New Roman"/>
          <w:color w:val="auto"/>
          <w:kern w:val="2"/>
          <w:sz w:val="32"/>
          <w:szCs w:val="24"/>
          <w:highlight w:val="none"/>
          <w:lang w:val="en-US" w:eastAsia="zh-CN" w:bidi="ar-SA"/>
        </w:rPr>
        <w:t>省教育厅初审后，</w:t>
      </w:r>
      <w:r>
        <w:rPr>
          <w:rFonts w:hint="eastAsia" w:ascii="仿宋_GB2312" w:hAnsi="仿宋_GB2312" w:eastAsia="仿宋_GB2312" w:cs="Times New Roman"/>
          <w:color w:val="auto"/>
          <w:kern w:val="2"/>
          <w:sz w:val="32"/>
          <w:szCs w:val="24"/>
          <w:highlight w:val="none"/>
          <w:lang w:val="en-US" w:eastAsia="zh-CN" w:bidi="ar-SA"/>
        </w:rPr>
        <w:t>再</w:t>
      </w:r>
      <w:r>
        <w:rPr>
          <w:rFonts w:hint="default" w:ascii="仿宋_GB2312" w:hAnsi="仿宋_GB2312" w:eastAsia="仿宋_GB2312" w:cs="Times New Roman"/>
          <w:color w:val="auto"/>
          <w:kern w:val="2"/>
          <w:sz w:val="32"/>
          <w:szCs w:val="24"/>
          <w:highlight w:val="none"/>
          <w:lang w:val="en-US" w:eastAsia="zh-CN" w:bidi="ar-SA"/>
        </w:rPr>
        <w:t>报省发展改革委审批。</w:t>
      </w:r>
    </w:p>
    <w:p w14:paraId="5C8103CE">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w:t>
      </w:r>
      <w:r>
        <w:rPr>
          <w:rFonts w:hint="default" w:ascii="仿宋_GB2312" w:hAnsi="仿宋_GB2312" w:eastAsia="仿宋_GB2312" w:cs="Times New Roman"/>
          <w:color w:val="auto"/>
          <w:kern w:val="2"/>
          <w:sz w:val="32"/>
          <w:szCs w:val="24"/>
          <w:highlight w:val="none"/>
          <w:lang w:val="en-US" w:eastAsia="zh-CN" w:bidi="ar-SA"/>
        </w:rPr>
        <w:t>应当委托有资质的单位编制建设项目的项目建议书和可行性研究报告</w:t>
      </w:r>
      <w:r>
        <w:rPr>
          <w:rFonts w:hint="eastAsia" w:ascii="仿宋_GB2312" w:hAnsi="仿宋_GB2312" w:eastAsia="仿宋_GB2312" w:cs="Times New Roman"/>
          <w:color w:val="auto"/>
          <w:kern w:val="2"/>
          <w:sz w:val="32"/>
          <w:szCs w:val="24"/>
          <w:highlight w:val="none"/>
          <w:lang w:val="en-US" w:eastAsia="zh-CN" w:bidi="ar-SA"/>
        </w:rPr>
        <w:t>，经省教育厅初审后，报</w:t>
      </w:r>
      <w:r>
        <w:rPr>
          <w:rFonts w:hint="default" w:ascii="仿宋_GB2312" w:hAnsi="仿宋_GB2312" w:eastAsia="仿宋_GB2312" w:cs="Times New Roman"/>
          <w:color w:val="auto"/>
          <w:kern w:val="2"/>
          <w:sz w:val="32"/>
          <w:szCs w:val="24"/>
          <w:highlight w:val="none"/>
          <w:lang w:val="en-US" w:eastAsia="zh-CN" w:bidi="ar-SA"/>
        </w:rPr>
        <w:t>省发展改革委</w:t>
      </w:r>
      <w:r>
        <w:rPr>
          <w:rFonts w:hint="eastAsia" w:ascii="仿宋_GB2312" w:hAnsi="仿宋_GB2312" w:eastAsia="仿宋_GB2312" w:cs="Times New Roman"/>
          <w:color w:val="auto"/>
          <w:kern w:val="2"/>
          <w:sz w:val="32"/>
          <w:szCs w:val="24"/>
          <w:highlight w:val="none"/>
          <w:lang w:val="en-US" w:eastAsia="zh-CN" w:bidi="ar-SA"/>
        </w:rPr>
        <w:t>审批。</w:t>
      </w:r>
    </w:p>
    <w:p w14:paraId="188FA976">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申请审批项目建议书应提供以下材料：</w:t>
      </w:r>
    </w:p>
    <w:p w14:paraId="2FD70CC6">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1.请示文件；</w:t>
      </w:r>
    </w:p>
    <w:p w14:paraId="76BD67C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2.项目建议书；</w:t>
      </w:r>
    </w:p>
    <w:p w14:paraId="1754B21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3.学校决策会议纪要；</w:t>
      </w:r>
    </w:p>
    <w:p w14:paraId="41032654">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4.经地方规划部门批准的校园规划；</w:t>
      </w:r>
    </w:p>
    <w:p w14:paraId="04D0B9F3">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5.资金来源审核报告。</w:t>
      </w:r>
    </w:p>
    <w:p w14:paraId="0C719963">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申请审批可行性研究报告应提供以下材料：</w:t>
      </w:r>
    </w:p>
    <w:p w14:paraId="6A0111E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1.请示文件；</w:t>
      </w:r>
    </w:p>
    <w:p w14:paraId="398B1A3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outlineLvl w:val="9"/>
        <w:rPr>
          <w:rFonts w:hint="eastAsia"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2.可行性研究报告（含项目立项批复、用地、规划、节能、社会稳定风险评估等落实情况的附件，以及编制单位资质文件）。</w:t>
      </w:r>
    </w:p>
    <w:p w14:paraId="1F8FB7AB">
      <w:pPr>
        <w:keepNext/>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学校因争取其他投资需要，可报请省教育厅审批建设项目的项目建议书、可行性研究报告。</w:t>
      </w:r>
    </w:p>
    <w:p w14:paraId="07D76609">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可行性研究报告获批后，</w:t>
      </w:r>
      <w:r>
        <w:rPr>
          <w:rFonts w:hint="eastAsia" w:ascii="仿宋_GB2312" w:hAnsi="仿宋_GB2312" w:eastAsia="仿宋_GB2312" w:cs="Times New Roman"/>
          <w:color w:val="auto"/>
          <w:kern w:val="2"/>
          <w:sz w:val="32"/>
          <w:szCs w:val="24"/>
          <w:highlight w:val="none"/>
          <w:lang w:val="en-US" w:eastAsia="zh-CN" w:bidi="ar-SA"/>
        </w:rPr>
        <w:t>学校</w:t>
      </w:r>
      <w:r>
        <w:rPr>
          <w:rFonts w:hint="default" w:ascii="仿宋_GB2312" w:hAnsi="仿宋_GB2312" w:eastAsia="仿宋_GB2312" w:cs="Times New Roman"/>
          <w:color w:val="auto"/>
          <w:kern w:val="2"/>
          <w:sz w:val="32"/>
          <w:szCs w:val="24"/>
          <w:highlight w:val="none"/>
          <w:lang w:val="en-US" w:eastAsia="zh-CN" w:bidi="ar-SA"/>
        </w:rPr>
        <w:t>委托有相应资质的单位严格依照可行性研究报告批复文件编制初步设计及概算，报请省教育厅审批。</w:t>
      </w:r>
    </w:p>
    <w:p w14:paraId="4413C38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学校申请审批初步设计及概算，应提供以下材料：</w:t>
      </w:r>
    </w:p>
    <w:p w14:paraId="6CA5EB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1.请示文件；</w:t>
      </w:r>
    </w:p>
    <w:p w14:paraId="6D31384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2.初步设计及概算（含设计总说明、总平面图、各专业设计图纸及说明、工程概算书、编制单位资质文件等）；</w:t>
      </w:r>
    </w:p>
    <w:p w14:paraId="5EA242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3.可行性研究报告批复文件。</w:t>
      </w:r>
    </w:p>
    <w:p w14:paraId="638941C7">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初步设计提出的投资概算超过经批准的可行性研究报告提出的投资估算10%的，应当向省教育厅报告。</w:t>
      </w:r>
    </w:p>
    <w:p w14:paraId="2B01EC29">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学校建设项目应当按照批准的建设地点、建设规模和建设内容实施；拟变更建设地点或者拟对建设规模、建设内容等作较大变更的，应当按照规定的程序经省教育厅审核后报省发展改革委审批。</w:t>
      </w:r>
    </w:p>
    <w:p w14:paraId="5B8DE9B6">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建设投资原则上不得超过经核定的投资概算。因国家政策调整、价格上涨、地质条件发生重大变化等原因确需增加投资概算的，学校应当提出调整方案及资金来源，并委托审计部门进行审计后，报省教育厅核定，若有调整需报省发展改革委备案；涉及预算调整或者调剂的，依照有关预算的法律、行政法规办理。</w:t>
      </w:r>
    </w:p>
    <w:p w14:paraId="47CC742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default"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第五章 项目备案管理</w:t>
      </w:r>
    </w:p>
    <w:p w14:paraId="1ABF3671">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学校自筹资金（包括学校自有、捐赠、地方预算资金等）进行建设的项目，</w:t>
      </w:r>
      <w:r>
        <w:rPr>
          <w:rFonts w:hint="eastAsia" w:ascii="仿宋_GB2312" w:hAnsi="仿宋_GB2312" w:eastAsia="仿宋_GB2312" w:cs="Times New Roman"/>
          <w:color w:val="auto"/>
          <w:kern w:val="2"/>
          <w:sz w:val="32"/>
          <w:szCs w:val="24"/>
          <w:highlight w:val="none"/>
          <w:lang w:val="en-US" w:eastAsia="zh-CN" w:bidi="ar-SA"/>
        </w:rPr>
        <w:t>须经学校校长办公会、党委常委会审议通过，</w:t>
      </w:r>
      <w:r>
        <w:rPr>
          <w:rFonts w:hint="default" w:ascii="仿宋_GB2312" w:hAnsi="仿宋_GB2312" w:eastAsia="仿宋_GB2312" w:cs="Times New Roman"/>
          <w:color w:val="auto"/>
          <w:kern w:val="2"/>
          <w:sz w:val="32"/>
          <w:szCs w:val="24"/>
          <w:highlight w:val="none"/>
          <w:lang w:val="en-US" w:eastAsia="zh-CN" w:bidi="ar-SA"/>
        </w:rPr>
        <w:t>报省教育厅进行备案，项目备案应提供以下材料：</w:t>
      </w:r>
    </w:p>
    <w:p w14:paraId="46997B1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（一）请示文件（包括项目的必要性和可行性、项目实施主体、建设地点、主要建设内容及规模、拟开工完工时间、投资估算及资金来源、效益分析等内容）；</w:t>
      </w:r>
    </w:p>
    <w:p w14:paraId="209261E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（二）学校决策会议纪要；</w:t>
      </w:r>
    </w:p>
    <w:p w14:paraId="25113E4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（三）经地方规划部门批准的校园规划；</w:t>
      </w:r>
    </w:p>
    <w:p w14:paraId="4A9BBFE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（四）资金来源审核报告。</w:t>
      </w:r>
    </w:p>
    <w:p w14:paraId="52A73070">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学校申请项目备案（审批）须在“安徽省投资项目在线审批监管平台”填报建设项目信息。</w:t>
      </w:r>
    </w:p>
    <w:p w14:paraId="0AF9DD48">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学校建设项目应当在备案意见下达之日起三年内开工建设。存在</w:t>
      </w:r>
      <w:r>
        <w:rPr>
          <w:rFonts w:hint="eastAsia" w:ascii="仿宋_GB2312" w:hAnsi="仿宋_GB2312" w:eastAsia="仿宋_GB2312" w:cs="Times New Roman"/>
          <w:color w:val="auto"/>
          <w:kern w:val="2"/>
          <w:sz w:val="32"/>
          <w:szCs w:val="24"/>
          <w:highlight w:val="none"/>
          <w:lang w:val="en-US" w:eastAsia="zh-CN" w:bidi="ar-SA"/>
        </w:rPr>
        <w:t>以下</w:t>
      </w:r>
      <w:r>
        <w:rPr>
          <w:rFonts w:hint="default" w:ascii="仿宋_GB2312" w:hAnsi="仿宋_GB2312" w:eastAsia="仿宋_GB2312" w:cs="Times New Roman"/>
          <w:color w:val="auto"/>
          <w:kern w:val="2"/>
          <w:sz w:val="32"/>
          <w:szCs w:val="24"/>
          <w:highlight w:val="none"/>
          <w:lang w:val="en-US" w:eastAsia="zh-CN" w:bidi="ar-SA"/>
        </w:rPr>
        <w:t>情况之一的，应重新备案：</w:t>
      </w:r>
    </w:p>
    <w:p w14:paraId="3BADD13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（一）</w:t>
      </w:r>
      <w:r>
        <w:rPr>
          <w:rFonts w:hint="default" w:ascii="仿宋_GB2312" w:hAnsi="仿宋_GB2312" w:cs="Times New Roman"/>
          <w:color w:val="auto"/>
          <w:szCs w:val="24"/>
          <w:highlight w:val="none"/>
          <w:lang w:val="en-US" w:eastAsia="zh-CN"/>
        </w:rPr>
        <w:t>逾期未开工建设的；</w:t>
      </w:r>
    </w:p>
    <w:p w14:paraId="5019039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（二）</w:t>
      </w:r>
      <w:r>
        <w:rPr>
          <w:rFonts w:hint="default" w:ascii="仿宋_GB2312" w:hAnsi="仿宋_GB2312" w:cs="Times New Roman"/>
          <w:color w:val="auto"/>
          <w:szCs w:val="24"/>
          <w:highlight w:val="none"/>
          <w:lang w:val="en-US" w:eastAsia="zh-CN"/>
        </w:rPr>
        <w:t>建设地点、建设规模、建设内容等发生重大变化的；</w:t>
      </w:r>
    </w:p>
    <w:p w14:paraId="43E7FE5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0" w:firstLine="640" w:firstLineChars="200"/>
        <w:textAlignment w:val="auto"/>
        <w:outlineLvl w:val="9"/>
        <w:rPr>
          <w:rFonts w:hint="default" w:ascii="仿宋_GB2312" w:hAnsi="仿宋_GB2312" w:cs="Times New Roman"/>
          <w:color w:val="auto"/>
          <w:szCs w:val="24"/>
          <w:highlight w:val="none"/>
          <w:lang w:val="en-US" w:eastAsia="zh-CN"/>
        </w:rPr>
      </w:pPr>
      <w:r>
        <w:rPr>
          <w:rFonts w:hint="eastAsia" w:ascii="仿宋_GB2312" w:hAnsi="仿宋_GB2312" w:cs="Times New Roman"/>
          <w:color w:val="auto"/>
          <w:szCs w:val="24"/>
          <w:highlight w:val="none"/>
          <w:lang w:val="en-US" w:eastAsia="zh-CN"/>
        </w:rPr>
        <w:t>（三）</w:t>
      </w:r>
      <w:r>
        <w:rPr>
          <w:rFonts w:hint="default" w:ascii="仿宋_GB2312" w:hAnsi="仿宋_GB2312" w:cs="Times New Roman"/>
          <w:color w:val="auto"/>
          <w:szCs w:val="24"/>
          <w:highlight w:val="none"/>
          <w:lang w:val="en-US" w:eastAsia="zh-CN"/>
        </w:rPr>
        <w:t>总投资超出</w:t>
      </w:r>
      <w:r>
        <w:rPr>
          <w:rFonts w:hint="eastAsia" w:ascii="仿宋_GB2312" w:hAnsi="仿宋_GB2312" w:cs="Times New Roman"/>
          <w:color w:val="auto"/>
          <w:szCs w:val="24"/>
          <w:highlight w:val="none"/>
          <w:lang w:val="en-US" w:eastAsia="zh-CN"/>
        </w:rPr>
        <w:t>已</w:t>
      </w:r>
      <w:r>
        <w:rPr>
          <w:rFonts w:hint="default" w:ascii="仿宋_GB2312" w:hAnsi="仿宋_GB2312" w:cs="Times New Roman"/>
          <w:color w:val="auto"/>
          <w:szCs w:val="24"/>
          <w:highlight w:val="none"/>
          <w:lang w:val="en-US" w:eastAsia="zh-CN"/>
        </w:rPr>
        <w:t>备案金额20%的。</w:t>
      </w:r>
    </w:p>
    <w:p w14:paraId="6D26C0B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default"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第六章 建设项目实施管理</w:t>
      </w:r>
    </w:p>
    <w:p w14:paraId="0CAE17AB">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w:t>
      </w:r>
      <w:r>
        <w:rPr>
          <w:rFonts w:hint="default" w:ascii="仿宋_GB2312" w:hAnsi="仿宋_GB2312" w:eastAsia="仿宋_GB2312" w:cs="Times New Roman"/>
          <w:color w:val="auto"/>
          <w:kern w:val="2"/>
          <w:sz w:val="32"/>
          <w:szCs w:val="24"/>
          <w:highlight w:val="none"/>
          <w:lang w:val="en-US" w:eastAsia="zh-CN" w:bidi="ar-SA"/>
        </w:rPr>
        <w:t>应当加强建设项目计划管理，严格按计划实施项目建设，并根据省教育厅相关要求报送下一年度计划开工项目。</w:t>
      </w:r>
    </w:p>
    <w:p w14:paraId="127CC73C">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学校建设项目实施应严格执行招投标法、政府采购法等相关法律法规</w:t>
      </w:r>
      <w:r>
        <w:rPr>
          <w:rFonts w:hint="eastAsia" w:ascii="仿宋_GB2312" w:hAnsi="仿宋_GB2312" w:eastAsia="仿宋_GB2312" w:cs="Times New Roman"/>
          <w:color w:val="auto"/>
          <w:kern w:val="2"/>
          <w:sz w:val="32"/>
          <w:szCs w:val="24"/>
          <w:highlight w:val="none"/>
          <w:lang w:val="en-US" w:eastAsia="zh-CN" w:bidi="ar-SA"/>
        </w:rPr>
        <w:t>及学校招标采购管理办法等相关规定</w:t>
      </w:r>
      <w:r>
        <w:rPr>
          <w:rFonts w:hint="default" w:ascii="仿宋_GB2312" w:hAnsi="仿宋_GB2312" w:eastAsia="仿宋_GB2312" w:cs="Times New Roman"/>
          <w:color w:val="auto"/>
          <w:kern w:val="2"/>
          <w:sz w:val="32"/>
          <w:szCs w:val="24"/>
          <w:highlight w:val="none"/>
          <w:lang w:val="en-US" w:eastAsia="zh-CN" w:bidi="ar-SA"/>
        </w:rPr>
        <w:t>，实行法人责任制、合同管理制、项目监理制。</w:t>
      </w:r>
    </w:p>
    <w:p w14:paraId="5F388FEF">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学校应当依法完善工程质量控制体系，建立健全工程质量责任追究制度，实行工程质量终身负责制度，保证建设项目工程质量。</w:t>
      </w:r>
    </w:p>
    <w:p w14:paraId="36B5864A">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学校应根据建设项目的复杂情况确定合理工期，建设项目的合理工期不得随意压缩或拖延。</w:t>
      </w:r>
    </w:p>
    <w:p w14:paraId="5B982062">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w:t>
      </w:r>
      <w:r>
        <w:rPr>
          <w:rFonts w:hint="eastAsia" w:ascii="仿宋_GB2312" w:hAnsi="仿宋_GB2312" w:eastAsia="仿宋_GB2312" w:cs="Times New Roman"/>
          <w:color w:val="auto"/>
          <w:kern w:val="2"/>
          <w:sz w:val="32"/>
          <w:szCs w:val="24"/>
          <w:highlight w:val="none"/>
          <w:lang w:val="en-US" w:eastAsia="zh-CN" w:bidi="ar-SA"/>
        </w:rPr>
        <w:t>建设项目应当建立健全安全责任体系，明确各方的安全责任，确保施工现场和校园安全。</w:t>
      </w:r>
    </w:p>
    <w:p w14:paraId="4A889368">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学校基本建设项目的方案设计应符合学校实际需求，对项目的使用功能和建设标准应进行充分的调研和论证，做到科学决策</w:t>
      </w:r>
      <w:r>
        <w:rPr>
          <w:rFonts w:hint="eastAsia" w:ascii="仿宋_GB2312" w:hAnsi="仿宋_GB2312" w:eastAsia="仿宋_GB2312" w:cs="Times New Roman"/>
          <w:color w:val="auto"/>
          <w:kern w:val="2"/>
          <w:sz w:val="32"/>
          <w:szCs w:val="24"/>
          <w:highlight w:val="none"/>
          <w:lang w:val="en-US" w:eastAsia="zh-CN" w:bidi="ar-SA"/>
        </w:rPr>
        <w:t>，有条件的可面向全校师生举办方案征集竞赛活动，遴选优秀方案以供参考。</w:t>
      </w:r>
      <w:r>
        <w:rPr>
          <w:rFonts w:hint="default" w:ascii="仿宋_GB2312" w:hAnsi="仿宋_GB2312" w:eastAsia="仿宋_GB2312" w:cs="Times New Roman"/>
          <w:color w:val="auto"/>
          <w:kern w:val="2"/>
          <w:sz w:val="32"/>
          <w:szCs w:val="24"/>
          <w:highlight w:val="none"/>
          <w:lang w:val="en-US" w:eastAsia="zh-CN" w:bidi="ar-SA"/>
        </w:rPr>
        <w:t xml:space="preserve"> </w:t>
      </w:r>
    </w:p>
    <w:p w14:paraId="5799AF62">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学校基本建设项目应委托具有相应资质的图纸审查机构对施工图进行审查</w:t>
      </w:r>
      <w:r>
        <w:rPr>
          <w:rFonts w:hint="eastAsia" w:ascii="仿宋_GB2312" w:hAnsi="仿宋_GB2312" w:eastAsia="仿宋_GB2312" w:cs="Times New Roman"/>
          <w:color w:val="auto"/>
          <w:kern w:val="2"/>
          <w:sz w:val="32"/>
          <w:szCs w:val="24"/>
          <w:highlight w:val="none"/>
          <w:lang w:val="en-US" w:eastAsia="zh-CN" w:bidi="ar-SA"/>
        </w:rPr>
        <w:t>，并</w:t>
      </w:r>
      <w:r>
        <w:rPr>
          <w:rFonts w:hint="default" w:ascii="仿宋_GB2312" w:hAnsi="仿宋_GB2312" w:eastAsia="仿宋_GB2312" w:cs="Times New Roman"/>
          <w:color w:val="auto"/>
          <w:kern w:val="2"/>
          <w:sz w:val="32"/>
          <w:szCs w:val="24"/>
          <w:highlight w:val="none"/>
          <w:lang w:val="en-US" w:eastAsia="zh-CN" w:bidi="ar-SA"/>
        </w:rPr>
        <w:t>按相关规定办理施工许可证和工程质量监督手续</w:t>
      </w:r>
      <w:r>
        <w:rPr>
          <w:rFonts w:hint="eastAsia" w:ascii="仿宋_GB2312" w:hAnsi="仿宋_GB2312" w:eastAsia="仿宋_GB2312" w:cs="Times New Roman"/>
          <w:color w:val="auto"/>
          <w:kern w:val="2"/>
          <w:sz w:val="32"/>
          <w:szCs w:val="24"/>
          <w:highlight w:val="none"/>
          <w:lang w:val="en-US" w:eastAsia="zh-CN" w:bidi="ar-SA"/>
        </w:rPr>
        <w:t>。</w:t>
      </w:r>
    </w:p>
    <w:p w14:paraId="51807D42">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学校基本建设项目的勘察、设计、监理、施工（含工程建设中的重要材料、设备采购）</w:t>
      </w:r>
      <w:r>
        <w:rPr>
          <w:rFonts w:hint="eastAsia" w:ascii="仿宋_GB2312" w:hAnsi="仿宋_GB2312" w:eastAsia="仿宋_GB2312" w:cs="Times New Roman"/>
          <w:color w:val="auto"/>
          <w:kern w:val="2"/>
          <w:sz w:val="32"/>
          <w:szCs w:val="24"/>
          <w:highlight w:val="none"/>
          <w:lang w:val="en-US" w:eastAsia="zh-CN" w:bidi="ar-SA"/>
        </w:rPr>
        <w:t>招标和采购</w:t>
      </w:r>
      <w:r>
        <w:rPr>
          <w:rFonts w:hint="default" w:ascii="仿宋_GB2312" w:hAnsi="仿宋_GB2312" w:eastAsia="仿宋_GB2312" w:cs="Times New Roman"/>
          <w:color w:val="auto"/>
          <w:kern w:val="2"/>
          <w:sz w:val="32"/>
          <w:szCs w:val="24"/>
          <w:highlight w:val="none"/>
          <w:lang w:val="en-US" w:eastAsia="zh-CN" w:bidi="ar-SA"/>
        </w:rPr>
        <w:t>等应坚持公平、公开、公正原则，严格按照</w:t>
      </w:r>
      <w:r>
        <w:rPr>
          <w:rFonts w:hint="eastAsia" w:ascii="仿宋_GB2312" w:hAnsi="仿宋_GB2312" w:eastAsia="仿宋_GB2312" w:cs="Times New Roman"/>
          <w:color w:val="auto"/>
          <w:kern w:val="2"/>
          <w:sz w:val="32"/>
          <w:szCs w:val="24"/>
          <w:highlight w:val="none"/>
          <w:lang w:val="en-US" w:eastAsia="zh-CN" w:bidi="ar-SA"/>
        </w:rPr>
        <w:t>学校招标采购</w:t>
      </w:r>
      <w:r>
        <w:rPr>
          <w:rFonts w:hint="default" w:ascii="仿宋_GB2312" w:hAnsi="仿宋_GB2312" w:eastAsia="仿宋_GB2312" w:cs="Times New Roman"/>
          <w:color w:val="auto"/>
          <w:kern w:val="2"/>
          <w:sz w:val="32"/>
          <w:szCs w:val="24"/>
          <w:highlight w:val="none"/>
          <w:lang w:val="en-US" w:eastAsia="zh-CN" w:bidi="ar-SA"/>
        </w:rPr>
        <w:t>相关规定执行。</w:t>
      </w:r>
    </w:p>
    <w:p w14:paraId="1B58080E">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国有资产管理处（基建办）</w:t>
      </w:r>
      <w:r>
        <w:rPr>
          <w:rFonts w:hint="default" w:ascii="仿宋_GB2312" w:hAnsi="仿宋_GB2312" w:eastAsia="仿宋_GB2312" w:cs="Times New Roman"/>
          <w:color w:val="auto"/>
          <w:kern w:val="2"/>
          <w:sz w:val="32"/>
          <w:szCs w:val="24"/>
          <w:highlight w:val="none"/>
          <w:lang w:val="en-US" w:eastAsia="zh-CN" w:bidi="ar-SA"/>
        </w:rPr>
        <w:t>负责办理</w:t>
      </w:r>
      <w:r>
        <w:rPr>
          <w:rFonts w:hint="eastAsia" w:ascii="仿宋_GB2312" w:hAnsi="仿宋_GB2312" w:eastAsia="仿宋_GB2312" w:cs="Times New Roman"/>
          <w:color w:val="auto"/>
          <w:kern w:val="2"/>
          <w:sz w:val="32"/>
          <w:szCs w:val="24"/>
          <w:highlight w:val="none"/>
          <w:lang w:val="en-US" w:eastAsia="zh-CN" w:bidi="ar-SA"/>
        </w:rPr>
        <w:t>学校</w:t>
      </w:r>
      <w:r>
        <w:rPr>
          <w:rFonts w:hint="default" w:ascii="仿宋_GB2312" w:hAnsi="仿宋_GB2312" w:eastAsia="仿宋_GB2312" w:cs="Times New Roman"/>
          <w:color w:val="auto"/>
          <w:kern w:val="2"/>
          <w:sz w:val="32"/>
          <w:szCs w:val="24"/>
          <w:highlight w:val="none"/>
          <w:lang w:val="en-US" w:eastAsia="zh-CN" w:bidi="ar-SA"/>
        </w:rPr>
        <w:t>基本建设项目合同（包括工程勘察、设计、监理、施工、检测、材料与设备采购等各类经济合同）签订的相关手续，并负责落实合同规定的全部内容。</w:t>
      </w:r>
    </w:p>
    <w:p w14:paraId="53E5BC60">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学校基本建设项目合同</w:t>
      </w:r>
      <w:r>
        <w:rPr>
          <w:rFonts w:hint="eastAsia" w:ascii="仿宋_GB2312" w:hAnsi="仿宋_GB2312" w:eastAsia="仿宋_GB2312" w:cs="Times New Roman"/>
          <w:color w:val="auto"/>
          <w:kern w:val="2"/>
          <w:sz w:val="32"/>
          <w:szCs w:val="24"/>
          <w:highlight w:val="none"/>
          <w:lang w:val="en-US" w:eastAsia="zh-CN" w:bidi="ar-SA"/>
        </w:rPr>
        <w:t>的</w:t>
      </w:r>
      <w:r>
        <w:rPr>
          <w:rFonts w:hint="default" w:ascii="仿宋_GB2312" w:hAnsi="仿宋_GB2312" w:eastAsia="仿宋_GB2312" w:cs="Times New Roman"/>
          <w:color w:val="auto"/>
          <w:kern w:val="2"/>
          <w:sz w:val="32"/>
          <w:szCs w:val="24"/>
          <w:highlight w:val="none"/>
          <w:lang w:val="en-US" w:eastAsia="zh-CN" w:bidi="ar-SA"/>
        </w:rPr>
        <w:t>签订应以学校招标文件、中标人的投标文件、基本建设项目合同范本及相关法律为依据。合同条款中应明确工程内容、承包方式、质量要求、开工竣工时间、材料与设备采购方式及价款结算办法、竣工验收及保修规定、双方的权利和义务、履约担保和违约处罚条款等主要内容，不得订立背离招投标文件实质性内容的其他协议。</w:t>
      </w:r>
    </w:p>
    <w:p w14:paraId="71A9480F">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学校的基本建设项目，</w:t>
      </w:r>
      <w:r>
        <w:rPr>
          <w:rFonts w:hint="eastAsia" w:ascii="仿宋_GB2312" w:hAnsi="仿宋_GB2312" w:eastAsia="仿宋_GB2312" w:cs="Times New Roman"/>
          <w:color w:val="auto"/>
          <w:kern w:val="2"/>
          <w:sz w:val="32"/>
          <w:szCs w:val="24"/>
          <w:highlight w:val="none"/>
          <w:lang w:val="en-US" w:eastAsia="zh-CN" w:bidi="ar-SA"/>
        </w:rPr>
        <w:t>国有资产管理处（基建办）</w:t>
      </w:r>
      <w:r>
        <w:rPr>
          <w:rFonts w:hint="default" w:ascii="仿宋_GB2312" w:hAnsi="仿宋_GB2312" w:eastAsia="仿宋_GB2312" w:cs="Times New Roman"/>
          <w:color w:val="auto"/>
          <w:kern w:val="2"/>
          <w:sz w:val="32"/>
          <w:szCs w:val="24"/>
          <w:highlight w:val="none"/>
          <w:lang w:val="en-US" w:eastAsia="zh-CN" w:bidi="ar-SA"/>
        </w:rPr>
        <w:t>应根据学校安排明确项目负责人，具体负责建设项目的组织、协调、管理工作，对所负责的工程项目承担明确的责任和义务，并与政府相关部门和校内相关部门进行协调。</w:t>
      </w:r>
    </w:p>
    <w:p w14:paraId="2B9C3C7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default"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第七章 建设项目施工过程管理</w:t>
      </w:r>
    </w:p>
    <w:p w14:paraId="6AC51B30">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w:t>
      </w:r>
      <w:r>
        <w:rPr>
          <w:rFonts w:hint="default" w:ascii="仿宋_GB2312" w:hAnsi="仿宋_GB2312" w:eastAsia="仿宋_GB2312" w:cs="Times New Roman"/>
          <w:color w:val="auto"/>
          <w:kern w:val="2"/>
          <w:sz w:val="32"/>
          <w:szCs w:val="24"/>
          <w:highlight w:val="none"/>
          <w:lang w:val="en-US" w:eastAsia="zh-CN" w:bidi="ar-SA"/>
        </w:rPr>
        <w:t>应加强基本建设项目施工过程管理和成本控制，</w:t>
      </w:r>
      <w:r>
        <w:rPr>
          <w:rFonts w:hint="eastAsia" w:ascii="仿宋_GB2312" w:hAnsi="仿宋_GB2312" w:eastAsia="仿宋_GB2312" w:cs="Times New Roman"/>
          <w:color w:val="auto"/>
          <w:kern w:val="2"/>
          <w:sz w:val="32"/>
          <w:szCs w:val="24"/>
          <w:highlight w:val="none"/>
          <w:lang w:val="en-US" w:eastAsia="zh-CN" w:bidi="ar-SA"/>
        </w:rPr>
        <w:t>严格</w:t>
      </w:r>
      <w:r>
        <w:rPr>
          <w:rFonts w:hint="default" w:ascii="仿宋_GB2312" w:hAnsi="仿宋_GB2312" w:eastAsia="仿宋_GB2312" w:cs="Times New Roman"/>
          <w:color w:val="auto"/>
          <w:kern w:val="2"/>
          <w:sz w:val="32"/>
          <w:szCs w:val="24"/>
          <w:highlight w:val="none"/>
          <w:lang w:val="en-US" w:eastAsia="zh-CN" w:bidi="ar-SA"/>
        </w:rPr>
        <w:t>控制项目的变更费用</w:t>
      </w:r>
      <w:r>
        <w:rPr>
          <w:rFonts w:hint="eastAsia" w:ascii="仿宋_GB2312" w:hAnsi="仿宋_GB2312" w:eastAsia="仿宋_GB2312" w:cs="Times New Roman"/>
          <w:color w:val="auto"/>
          <w:kern w:val="2"/>
          <w:sz w:val="32"/>
          <w:szCs w:val="24"/>
          <w:highlight w:val="none"/>
          <w:lang w:val="en-US" w:eastAsia="zh-CN" w:bidi="ar-SA"/>
        </w:rPr>
        <w:t>，除重大变更外累计变更金额原则上不应超过合同总价的10%。</w:t>
      </w:r>
    </w:p>
    <w:p w14:paraId="44DED688">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确因需要发生的变更，根据变更的情形按以下方式处理：</w:t>
      </w:r>
    </w:p>
    <w:p w14:paraId="2BF98DFD">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（一）学校根据实际需要对基建项目的使用功能、建设标准等进行调整的，由</w:t>
      </w:r>
      <w:r>
        <w:rPr>
          <w:rFonts w:hint="eastAsia" w:ascii="仿宋_GB2312" w:hAnsi="仿宋_GB2312" w:cs="Times New Roman"/>
          <w:color w:val="auto"/>
          <w:szCs w:val="24"/>
          <w:highlight w:val="none"/>
          <w:lang w:val="en-US" w:eastAsia="zh-CN"/>
        </w:rPr>
        <w:t>国有资产管理处（基建办）</w:t>
      </w:r>
      <w:r>
        <w:rPr>
          <w:rFonts w:hint="default" w:ascii="仿宋_GB2312" w:hAnsi="仿宋_GB2312" w:cs="Times New Roman"/>
          <w:color w:val="auto"/>
          <w:szCs w:val="24"/>
          <w:highlight w:val="none"/>
          <w:lang w:val="en-US" w:eastAsia="zh-CN"/>
        </w:rPr>
        <w:t>根据校领导批示、校长办公会或党委常委会相关决议执行。</w:t>
      </w:r>
    </w:p>
    <w:p w14:paraId="6E97CFC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二）施工过程中发生的施工图设计不明确、施工图设计与施工现场的实际情况不相符、施工图设计所使用的主要材料和设备与施工时现行的国家及地方强制性规范不相符、清单工程量与图纸偏差较大、清单漏项等</w:t>
      </w:r>
      <w:r>
        <w:rPr>
          <w:rFonts w:hint="eastAsia" w:ascii="仿宋_GB2312" w:hAnsi="仿宋_GB2312" w:cs="Times New Roman"/>
          <w:color w:val="auto"/>
          <w:szCs w:val="24"/>
          <w:highlight w:val="none"/>
          <w:lang w:val="en-US" w:eastAsia="zh-CN"/>
        </w:rPr>
        <w:t>情况</w:t>
      </w:r>
      <w:r>
        <w:rPr>
          <w:rFonts w:hint="default" w:ascii="仿宋_GB2312" w:hAnsi="仿宋_GB2312" w:cs="Times New Roman"/>
          <w:color w:val="auto"/>
          <w:szCs w:val="24"/>
          <w:highlight w:val="none"/>
          <w:lang w:val="en-US" w:eastAsia="zh-CN"/>
        </w:rPr>
        <w:t>，由</w:t>
      </w:r>
      <w:r>
        <w:rPr>
          <w:rFonts w:hint="eastAsia" w:ascii="仿宋_GB2312" w:hAnsi="仿宋_GB2312" w:cs="Times New Roman"/>
          <w:color w:val="auto"/>
          <w:szCs w:val="24"/>
          <w:highlight w:val="none"/>
          <w:lang w:val="en-US" w:eastAsia="zh-CN"/>
        </w:rPr>
        <w:t>国有资产管理处（基建办）</w:t>
      </w:r>
      <w:r>
        <w:rPr>
          <w:rFonts w:hint="default" w:ascii="仿宋_GB2312" w:hAnsi="仿宋_GB2312" w:cs="Times New Roman"/>
          <w:color w:val="auto"/>
          <w:szCs w:val="24"/>
          <w:highlight w:val="none"/>
          <w:lang w:val="en-US" w:eastAsia="zh-CN"/>
        </w:rPr>
        <w:t>根据工程变更费用的估算大小依据相关规定办理审批手续，待工程竣工</w:t>
      </w:r>
      <w:r>
        <w:rPr>
          <w:rFonts w:hint="eastAsia" w:ascii="仿宋_GB2312" w:hAnsi="仿宋_GB2312" w:cs="Times New Roman"/>
          <w:color w:val="auto"/>
          <w:szCs w:val="24"/>
          <w:highlight w:val="none"/>
          <w:lang w:val="en-US" w:eastAsia="zh-CN"/>
        </w:rPr>
        <w:t>结</w:t>
      </w:r>
      <w:r>
        <w:rPr>
          <w:rFonts w:hint="default" w:ascii="仿宋_GB2312" w:hAnsi="仿宋_GB2312" w:cs="Times New Roman"/>
          <w:color w:val="auto"/>
          <w:szCs w:val="24"/>
          <w:highlight w:val="none"/>
          <w:lang w:val="en-US" w:eastAsia="zh-CN"/>
        </w:rPr>
        <w:t>算审计时按审计认定的金额据实结算。</w:t>
      </w:r>
    </w:p>
    <w:p w14:paraId="6BD69839">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（三）对工程变更费用有异议的，或确实需要的，可以委托相应的造价咨询机构进行初步审核。</w:t>
      </w:r>
    </w:p>
    <w:p w14:paraId="173FCB24">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变更费用的审批权限按下列手续办理：</w:t>
      </w:r>
    </w:p>
    <w:p w14:paraId="03094511">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（一）单项变更费用为1万元以内（含1万元）的，报</w:t>
      </w:r>
      <w:r>
        <w:rPr>
          <w:rFonts w:hint="eastAsia" w:ascii="仿宋_GB2312" w:hAnsi="仿宋_GB2312" w:cs="Times New Roman"/>
          <w:color w:val="auto"/>
          <w:szCs w:val="24"/>
          <w:highlight w:val="none"/>
          <w:lang w:val="en-US" w:eastAsia="zh-CN"/>
        </w:rPr>
        <w:t>国有资产管理处（基建办）</w:t>
      </w:r>
      <w:r>
        <w:rPr>
          <w:rFonts w:hint="default" w:ascii="仿宋_GB2312" w:hAnsi="仿宋_GB2312" w:cs="Times New Roman"/>
          <w:color w:val="auto"/>
          <w:szCs w:val="24"/>
          <w:highlight w:val="none"/>
          <w:lang w:val="en-US" w:eastAsia="zh-CN"/>
        </w:rPr>
        <w:t>负责人审批。</w:t>
      </w:r>
    </w:p>
    <w:p w14:paraId="4FD2748A">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（二）单项变更费用为1万元-10万元以内（含10万元）的，</w:t>
      </w:r>
      <w:r>
        <w:rPr>
          <w:rFonts w:hint="eastAsia" w:ascii="仿宋_GB2312" w:hAnsi="仿宋_GB2312" w:cs="Times New Roman"/>
          <w:color w:val="auto"/>
          <w:szCs w:val="24"/>
          <w:highlight w:val="none"/>
          <w:lang w:val="en-US" w:eastAsia="zh-CN"/>
        </w:rPr>
        <w:t>经</w:t>
      </w:r>
      <w:r>
        <w:rPr>
          <w:rFonts w:hint="default" w:ascii="仿宋_GB2312" w:hAnsi="仿宋_GB2312" w:cs="Times New Roman"/>
          <w:color w:val="auto"/>
          <w:szCs w:val="24"/>
          <w:highlight w:val="none"/>
          <w:lang w:val="en-US" w:eastAsia="zh-CN"/>
        </w:rPr>
        <w:t>处务会研究同意后，报分管校长审批。</w:t>
      </w:r>
    </w:p>
    <w:p w14:paraId="1263D94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（三）单项变更费用为10万元-</w:t>
      </w:r>
      <w:r>
        <w:rPr>
          <w:rFonts w:hint="eastAsia" w:ascii="仿宋_GB2312" w:hAnsi="仿宋_GB2312" w:cs="Times New Roman"/>
          <w:color w:val="auto"/>
          <w:szCs w:val="24"/>
          <w:highlight w:val="none"/>
          <w:lang w:val="en-US" w:eastAsia="zh-CN"/>
        </w:rPr>
        <w:t>2</w:t>
      </w:r>
      <w:r>
        <w:rPr>
          <w:rFonts w:hint="default" w:ascii="仿宋_GB2312" w:hAnsi="仿宋_GB2312" w:cs="Times New Roman"/>
          <w:color w:val="auto"/>
          <w:szCs w:val="24"/>
          <w:highlight w:val="none"/>
          <w:lang w:val="en-US" w:eastAsia="zh-CN"/>
        </w:rPr>
        <w:t>0万元以内（含</w:t>
      </w:r>
      <w:r>
        <w:rPr>
          <w:rFonts w:hint="eastAsia" w:ascii="仿宋_GB2312" w:hAnsi="仿宋_GB2312" w:cs="Times New Roman"/>
          <w:color w:val="auto"/>
          <w:szCs w:val="24"/>
          <w:highlight w:val="none"/>
          <w:lang w:val="en-US" w:eastAsia="zh-CN"/>
        </w:rPr>
        <w:t>2</w:t>
      </w:r>
      <w:r>
        <w:rPr>
          <w:rFonts w:hint="default" w:ascii="仿宋_GB2312" w:hAnsi="仿宋_GB2312" w:cs="Times New Roman"/>
          <w:color w:val="auto"/>
          <w:szCs w:val="24"/>
          <w:highlight w:val="none"/>
          <w:lang w:val="en-US" w:eastAsia="zh-CN"/>
        </w:rPr>
        <w:t>0万元）的，</w:t>
      </w:r>
      <w:r>
        <w:rPr>
          <w:rFonts w:hint="eastAsia" w:ascii="仿宋_GB2312" w:hAnsi="仿宋_GB2312" w:cs="Times New Roman"/>
          <w:color w:val="auto"/>
          <w:szCs w:val="24"/>
          <w:highlight w:val="none"/>
          <w:lang w:val="en-US" w:eastAsia="zh-CN"/>
        </w:rPr>
        <w:t>经</w:t>
      </w:r>
      <w:r>
        <w:rPr>
          <w:rFonts w:hint="default" w:ascii="仿宋_GB2312" w:hAnsi="仿宋_GB2312" w:cs="Times New Roman"/>
          <w:color w:val="auto"/>
          <w:szCs w:val="24"/>
          <w:highlight w:val="none"/>
          <w:lang w:val="en-US" w:eastAsia="zh-CN"/>
        </w:rPr>
        <w:t>处务会研究同意且经分管校长审定后，报校长审批。</w:t>
      </w:r>
    </w:p>
    <w:p w14:paraId="59C2482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（四）单项变更费用为</w:t>
      </w:r>
      <w:r>
        <w:rPr>
          <w:rFonts w:hint="eastAsia" w:ascii="仿宋_GB2312" w:hAnsi="仿宋_GB2312" w:cs="Times New Roman"/>
          <w:color w:val="auto"/>
          <w:szCs w:val="24"/>
          <w:highlight w:val="none"/>
          <w:lang w:val="en-US" w:eastAsia="zh-CN"/>
        </w:rPr>
        <w:t>2</w:t>
      </w:r>
      <w:r>
        <w:rPr>
          <w:rFonts w:hint="default" w:ascii="仿宋_GB2312" w:hAnsi="仿宋_GB2312" w:cs="Times New Roman"/>
          <w:color w:val="auto"/>
          <w:szCs w:val="24"/>
          <w:highlight w:val="none"/>
          <w:lang w:val="en-US" w:eastAsia="zh-CN"/>
        </w:rPr>
        <w:t>0万元-100万元以内（含100万元</w:t>
      </w:r>
      <w:r>
        <w:rPr>
          <w:rFonts w:hint="eastAsia" w:ascii="仿宋_GB2312" w:hAnsi="仿宋_GB2312" w:cs="Times New Roman"/>
          <w:color w:val="auto"/>
          <w:szCs w:val="24"/>
          <w:highlight w:val="none"/>
          <w:lang w:val="en-US" w:eastAsia="zh-CN"/>
        </w:rPr>
        <w:t>）</w:t>
      </w:r>
      <w:r>
        <w:rPr>
          <w:rFonts w:hint="default" w:ascii="仿宋_GB2312" w:hAnsi="仿宋_GB2312" w:cs="Times New Roman"/>
          <w:color w:val="auto"/>
          <w:szCs w:val="24"/>
          <w:highlight w:val="none"/>
          <w:lang w:val="en-US" w:eastAsia="zh-CN"/>
        </w:rPr>
        <w:t>的，经校长办公会审定。</w:t>
      </w:r>
    </w:p>
    <w:p w14:paraId="1BFA9BA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（五）单项变更费用为100万元以上的，经校长办公会审定后，由党委常委会研究决定。</w:t>
      </w:r>
    </w:p>
    <w:p w14:paraId="61C64A56">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所有的工程变更，</w:t>
      </w:r>
      <w:r>
        <w:rPr>
          <w:rFonts w:hint="eastAsia" w:ascii="仿宋_GB2312" w:hAnsi="仿宋_GB2312" w:eastAsia="仿宋_GB2312" w:cs="Times New Roman"/>
          <w:color w:val="auto"/>
          <w:kern w:val="2"/>
          <w:sz w:val="32"/>
          <w:szCs w:val="24"/>
          <w:highlight w:val="none"/>
          <w:lang w:val="en-US" w:eastAsia="zh-CN" w:bidi="ar-SA"/>
        </w:rPr>
        <w:t>需办理变更费用审批手续后方可实施，国有资产管理处（基建办）</w:t>
      </w:r>
      <w:r>
        <w:rPr>
          <w:rFonts w:hint="default" w:ascii="仿宋_GB2312" w:hAnsi="仿宋_GB2312" w:eastAsia="仿宋_GB2312" w:cs="Times New Roman"/>
          <w:color w:val="auto"/>
          <w:kern w:val="2"/>
          <w:sz w:val="32"/>
          <w:szCs w:val="24"/>
          <w:highlight w:val="none"/>
          <w:lang w:val="en-US" w:eastAsia="zh-CN" w:bidi="ar-SA"/>
        </w:rPr>
        <w:t>现场管理人员需复核变更完成情况和相应的工程量（图纸变更中能明确反映工程量的，依据图纸变更），最终作为竣工结算</w:t>
      </w:r>
      <w:r>
        <w:rPr>
          <w:rFonts w:hint="eastAsia" w:ascii="仿宋_GB2312" w:hAnsi="仿宋_GB2312" w:eastAsia="仿宋_GB2312" w:cs="Times New Roman"/>
          <w:color w:val="auto"/>
          <w:kern w:val="2"/>
          <w:sz w:val="32"/>
          <w:szCs w:val="24"/>
          <w:highlight w:val="none"/>
          <w:lang w:val="en-US" w:eastAsia="zh-CN" w:bidi="ar-SA"/>
        </w:rPr>
        <w:t>审计</w:t>
      </w:r>
      <w:r>
        <w:rPr>
          <w:rFonts w:hint="default" w:ascii="仿宋_GB2312" w:hAnsi="仿宋_GB2312" w:eastAsia="仿宋_GB2312" w:cs="Times New Roman"/>
          <w:color w:val="auto"/>
          <w:kern w:val="2"/>
          <w:sz w:val="32"/>
          <w:szCs w:val="24"/>
          <w:highlight w:val="none"/>
          <w:lang w:val="en-US" w:eastAsia="zh-CN" w:bidi="ar-SA"/>
        </w:rPr>
        <w:t>的依据。</w:t>
      </w:r>
    </w:p>
    <w:p w14:paraId="3B22494D">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所有的工程变更，必须真实反映事件的原始状况，必须注明变更原因，内容表达要清楚。对内容表达不清楚、有歧义或未按照规定要求填写的工程变更，一律不予审批。</w:t>
      </w:r>
    </w:p>
    <w:p w14:paraId="4906430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default"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第八章 建设项目竣工验收及移交</w:t>
      </w:r>
    </w:p>
    <w:p w14:paraId="5CC2EB7A">
      <w:pPr>
        <w:keepNext/>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学校的基本建设项目</w:t>
      </w:r>
      <w:r>
        <w:rPr>
          <w:rFonts w:hint="eastAsia" w:ascii="仿宋_GB2312" w:hAnsi="仿宋_GB2312" w:eastAsia="仿宋_GB2312" w:cs="Times New Roman"/>
          <w:color w:val="auto"/>
          <w:kern w:val="2"/>
          <w:sz w:val="32"/>
          <w:szCs w:val="24"/>
          <w:highlight w:val="none"/>
          <w:lang w:val="en-US" w:eastAsia="zh-CN" w:bidi="ar-SA"/>
        </w:rPr>
        <w:t>，国有资产管理处（基建办）</w:t>
      </w:r>
      <w:r>
        <w:rPr>
          <w:rFonts w:hint="default" w:ascii="仿宋_GB2312" w:hAnsi="仿宋_GB2312" w:eastAsia="仿宋_GB2312" w:cs="Times New Roman"/>
          <w:color w:val="auto"/>
          <w:kern w:val="2"/>
          <w:sz w:val="32"/>
          <w:szCs w:val="24"/>
          <w:highlight w:val="none"/>
          <w:lang w:val="en-US" w:eastAsia="zh-CN" w:bidi="ar-SA"/>
        </w:rPr>
        <w:t>应按</w:t>
      </w:r>
      <w:r>
        <w:rPr>
          <w:rFonts w:hint="eastAsia" w:ascii="仿宋_GB2312" w:hAnsi="仿宋_GB2312" w:eastAsia="仿宋_GB2312" w:cs="Times New Roman"/>
          <w:color w:val="auto"/>
          <w:kern w:val="2"/>
          <w:sz w:val="32"/>
          <w:szCs w:val="24"/>
          <w:highlight w:val="none"/>
          <w:lang w:val="en-US" w:eastAsia="zh-CN" w:bidi="ar-SA"/>
        </w:rPr>
        <w:t>各级政府和建筑行业的相关</w:t>
      </w:r>
      <w:r>
        <w:rPr>
          <w:rFonts w:hint="default" w:ascii="仿宋_GB2312" w:hAnsi="仿宋_GB2312" w:eastAsia="仿宋_GB2312" w:cs="Times New Roman"/>
          <w:color w:val="auto"/>
          <w:kern w:val="2"/>
          <w:sz w:val="32"/>
          <w:szCs w:val="24"/>
          <w:highlight w:val="none"/>
          <w:lang w:val="en-US" w:eastAsia="zh-CN" w:bidi="ar-SA"/>
        </w:rPr>
        <w:t>规定</w:t>
      </w:r>
      <w:r>
        <w:rPr>
          <w:rFonts w:hint="eastAsia" w:ascii="仿宋_GB2312" w:hAnsi="仿宋_GB2312" w:eastAsia="仿宋_GB2312" w:cs="Times New Roman"/>
          <w:color w:val="auto"/>
          <w:kern w:val="2"/>
          <w:sz w:val="32"/>
          <w:szCs w:val="24"/>
          <w:highlight w:val="none"/>
          <w:lang w:val="en-US" w:eastAsia="zh-CN" w:bidi="ar-SA"/>
        </w:rPr>
        <w:t>，完成项目专项验收、</w:t>
      </w:r>
      <w:r>
        <w:rPr>
          <w:rFonts w:hint="default" w:ascii="仿宋_GB2312" w:hAnsi="仿宋_GB2312" w:eastAsia="仿宋_GB2312" w:cs="Times New Roman"/>
          <w:color w:val="auto"/>
          <w:kern w:val="2"/>
          <w:sz w:val="32"/>
          <w:szCs w:val="24"/>
          <w:highlight w:val="none"/>
          <w:lang w:val="en-US" w:eastAsia="zh-CN" w:bidi="ar-SA"/>
        </w:rPr>
        <w:t>竣工验收</w:t>
      </w:r>
      <w:r>
        <w:rPr>
          <w:rFonts w:hint="eastAsia" w:ascii="仿宋_GB2312" w:hAnsi="仿宋_GB2312" w:eastAsia="仿宋_GB2312" w:cs="Times New Roman"/>
          <w:color w:val="auto"/>
          <w:kern w:val="2"/>
          <w:sz w:val="32"/>
          <w:szCs w:val="24"/>
          <w:highlight w:val="none"/>
          <w:lang w:val="en-US" w:eastAsia="zh-CN" w:bidi="ar-SA"/>
        </w:rPr>
        <w:t>、竣工备案、资料归档等工作，确保做到程序规范、手续完备</w:t>
      </w:r>
      <w:r>
        <w:rPr>
          <w:rFonts w:hint="default" w:ascii="仿宋_GB2312" w:hAnsi="仿宋_GB2312" w:eastAsia="仿宋_GB2312" w:cs="Times New Roman"/>
          <w:color w:val="auto"/>
          <w:kern w:val="2"/>
          <w:sz w:val="32"/>
          <w:szCs w:val="24"/>
          <w:highlight w:val="none"/>
          <w:lang w:val="en-US" w:eastAsia="zh-CN" w:bidi="ar-SA"/>
        </w:rPr>
        <w:t>。</w:t>
      </w:r>
    </w:p>
    <w:p w14:paraId="008BAFBA">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w:t>
      </w:r>
      <w:r>
        <w:rPr>
          <w:rFonts w:hint="eastAsia" w:ascii="仿宋_GB2312" w:hAnsi="仿宋_GB2312" w:eastAsia="仿宋_GB2312" w:cs="Times New Roman"/>
          <w:color w:val="auto"/>
          <w:kern w:val="2"/>
          <w:sz w:val="32"/>
          <w:szCs w:val="24"/>
          <w:highlight w:val="none"/>
          <w:lang w:val="en-US" w:eastAsia="zh-CN" w:bidi="ar-SA"/>
        </w:rPr>
        <w:t>的基本建设项目，国有资产管理处（基建办）应组织勘察、设计、施工、监理等责任主体单位组成竣工验收小组，必要时可邀请相关专家和校内相关部门共同对申报的竣工资料进行审核，对项目实体分部分项检查验收。竣工验收小组共同签署的工程竣工验收单，作为通过校内竣工验收和施工工期结束的依据。</w:t>
      </w:r>
    </w:p>
    <w:p w14:paraId="26B50D14">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w:t>
      </w:r>
      <w:r>
        <w:rPr>
          <w:rFonts w:hint="eastAsia" w:ascii="仿宋_GB2312" w:hAnsi="仿宋_GB2312" w:eastAsia="仿宋_GB2312" w:cs="Times New Roman"/>
          <w:color w:val="auto"/>
          <w:kern w:val="2"/>
          <w:sz w:val="32"/>
          <w:szCs w:val="24"/>
          <w:highlight w:val="none"/>
          <w:lang w:val="en-US" w:eastAsia="zh-CN" w:bidi="ar-SA"/>
        </w:rPr>
        <w:t>的基本建设项目竣工验收合格后，国有资产管理处（基建办）应会同后勤管理处、保卫处、信网中心以及其它使用管理部门进行工程项目的移交及接收工作。</w:t>
      </w:r>
    </w:p>
    <w:p w14:paraId="47415408">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w:t>
      </w:r>
      <w:r>
        <w:rPr>
          <w:rFonts w:hint="eastAsia" w:ascii="仿宋_GB2312" w:hAnsi="仿宋_GB2312" w:eastAsia="仿宋_GB2312" w:cs="Times New Roman"/>
          <w:color w:val="auto"/>
          <w:kern w:val="2"/>
          <w:sz w:val="32"/>
          <w:szCs w:val="24"/>
          <w:highlight w:val="none"/>
          <w:lang w:val="en-US" w:eastAsia="zh-CN" w:bidi="ar-SA"/>
        </w:rPr>
        <w:t>的基本</w:t>
      </w:r>
      <w:r>
        <w:rPr>
          <w:rFonts w:hint="default" w:ascii="仿宋_GB2312" w:hAnsi="仿宋_GB2312" w:eastAsia="仿宋_GB2312" w:cs="Times New Roman"/>
          <w:color w:val="auto"/>
          <w:kern w:val="2"/>
          <w:sz w:val="32"/>
          <w:szCs w:val="24"/>
          <w:highlight w:val="none"/>
          <w:lang w:val="en-US" w:eastAsia="zh-CN" w:bidi="ar-SA"/>
        </w:rPr>
        <w:t>建设项目</w:t>
      </w:r>
      <w:r>
        <w:rPr>
          <w:rFonts w:hint="eastAsia" w:ascii="仿宋_GB2312" w:hAnsi="仿宋_GB2312" w:eastAsia="仿宋_GB2312" w:cs="Times New Roman"/>
          <w:color w:val="auto"/>
          <w:kern w:val="2"/>
          <w:sz w:val="32"/>
          <w:szCs w:val="24"/>
          <w:highlight w:val="none"/>
          <w:lang w:val="en-US" w:eastAsia="zh-CN" w:bidi="ar-SA"/>
        </w:rPr>
        <w:t>建成投入使用后，由后勤管理处、保卫处、信网中心以及其它使用管理部门负责日常运行管理。</w:t>
      </w:r>
    </w:p>
    <w:p w14:paraId="6815AB45">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学校的基本建设项目建成投入使用后，在质保期内发现问题的，使用管理部门在3个工作日内将问题汇总反馈至国有资产管理处（基建办），由国有资产管理处（基建办）协调原施工单位进行维修整改。</w:t>
      </w:r>
    </w:p>
    <w:p w14:paraId="410A0C6A">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w:t>
      </w:r>
      <w:r>
        <w:rPr>
          <w:rFonts w:hint="eastAsia" w:ascii="仿宋_GB2312" w:hAnsi="仿宋_GB2312" w:eastAsia="仿宋_GB2312" w:cs="Times New Roman"/>
          <w:color w:val="auto"/>
          <w:kern w:val="2"/>
          <w:sz w:val="32"/>
          <w:szCs w:val="24"/>
          <w:highlight w:val="none"/>
          <w:lang w:val="en-US" w:eastAsia="zh-CN" w:bidi="ar-SA"/>
        </w:rPr>
        <w:t>的基本</w:t>
      </w:r>
      <w:r>
        <w:rPr>
          <w:rFonts w:hint="default" w:ascii="仿宋_GB2312" w:hAnsi="仿宋_GB2312" w:eastAsia="仿宋_GB2312" w:cs="Times New Roman"/>
          <w:color w:val="auto"/>
          <w:kern w:val="2"/>
          <w:sz w:val="32"/>
          <w:szCs w:val="24"/>
          <w:highlight w:val="none"/>
          <w:lang w:val="en-US" w:eastAsia="zh-CN" w:bidi="ar-SA"/>
        </w:rPr>
        <w:t>建设项目</w:t>
      </w:r>
      <w:r>
        <w:rPr>
          <w:rFonts w:hint="eastAsia" w:ascii="仿宋_GB2312" w:hAnsi="仿宋_GB2312" w:eastAsia="仿宋_GB2312" w:cs="Times New Roman"/>
          <w:color w:val="auto"/>
          <w:kern w:val="2"/>
          <w:sz w:val="32"/>
          <w:szCs w:val="24"/>
          <w:highlight w:val="none"/>
          <w:lang w:val="en-US" w:eastAsia="zh-CN" w:bidi="ar-SA"/>
        </w:rPr>
        <w:t>，国有资产管理处（基建办）应组织各参建单位按照相关规定完成竣工资料立卷整理工作，形成工程竣工档案，分别向城建档案馆和学校档案馆备案</w:t>
      </w:r>
      <w:r>
        <w:rPr>
          <w:rFonts w:hint="default" w:ascii="仿宋_GB2312" w:hAnsi="仿宋_GB2312" w:eastAsia="仿宋_GB2312" w:cs="Times New Roman"/>
          <w:color w:val="auto"/>
          <w:kern w:val="2"/>
          <w:sz w:val="32"/>
          <w:szCs w:val="24"/>
          <w:highlight w:val="none"/>
          <w:lang w:val="en-US" w:eastAsia="zh-CN" w:bidi="ar-SA"/>
        </w:rPr>
        <w:t>。</w:t>
      </w:r>
    </w:p>
    <w:p w14:paraId="5CE976DD">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w:t>
      </w:r>
      <w:r>
        <w:rPr>
          <w:rFonts w:hint="eastAsia" w:ascii="仿宋_GB2312" w:hAnsi="仿宋_GB2312" w:eastAsia="仿宋_GB2312" w:cs="Times New Roman"/>
          <w:color w:val="auto"/>
          <w:kern w:val="2"/>
          <w:sz w:val="32"/>
          <w:szCs w:val="24"/>
          <w:highlight w:val="none"/>
          <w:lang w:val="en-US" w:eastAsia="zh-CN" w:bidi="ar-SA"/>
        </w:rPr>
        <w:t>基本</w:t>
      </w:r>
      <w:r>
        <w:rPr>
          <w:rFonts w:hint="default" w:ascii="仿宋_GB2312" w:hAnsi="仿宋_GB2312" w:eastAsia="仿宋_GB2312" w:cs="Times New Roman"/>
          <w:color w:val="auto"/>
          <w:kern w:val="2"/>
          <w:sz w:val="32"/>
          <w:szCs w:val="24"/>
          <w:highlight w:val="none"/>
          <w:lang w:val="en-US" w:eastAsia="zh-CN" w:bidi="ar-SA"/>
        </w:rPr>
        <w:t>建设项目</w:t>
      </w:r>
      <w:r>
        <w:rPr>
          <w:rFonts w:hint="eastAsia" w:ascii="仿宋_GB2312" w:hAnsi="仿宋_GB2312" w:eastAsia="仿宋_GB2312" w:cs="Times New Roman"/>
          <w:color w:val="auto"/>
          <w:kern w:val="2"/>
          <w:sz w:val="32"/>
          <w:szCs w:val="24"/>
          <w:highlight w:val="none"/>
          <w:lang w:val="en-US" w:eastAsia="zh-CN" w:bidi="ar-SA"/>
        </w:rPr>
        <w:t>竣工验收合格</w:t>
      </w:r>
      <w:r>
        <w:rPr>
          <w:rFonts w:hint="default" w:ascii="仿宋_GB2312" w:hAnsi="仿宋_GB2312" w:eastAsia="仿宋_GB2312" w:cs="Times New Roman"/>
          <w:color w:val="auto"/>
          <w:kern w:val="2"/>
          <w:sz w:val="32"/>
          <w:szCs w:val="24"/>
          <w:highlight w:val="none"/>
          <w:lang w:val="en-US" w:eastAsia="zh-CN" w:bidi="ar-SA"/>
        </w:rPr>
        <w:t>后</w:t>
      </w:r>
      <w:r>
        <w:rPr>
          <w:rFonts w:hint="eastAsia" w:ascii="仿宋_GB2312" w:hAnsi="仿宋_GB2312" w:eastAsia="仿宋_GB2312" w:cs="Times New Roman"/>
          <w:color w:val="auto"/>
          <w:kern w:val="2"/>
          <w:sz w:val="32"/>
          <w:szCs w:val="24"/>
          <w:highlight w:val="none"/>
          <w:lang w:val="en-US" w:eastAsia="zh-CN" w:bidi="ar-SA"/>
        </w:rPr>
        <w:t>，国有资产管理处（基建办）</w:t>
      </w:r>
      <w:r>
        <w:rPr>
          <w:rFonts w:hint="default" w:ascii="仿宋_GB2312" w:hAnsi="仿宋_GB2312" w:eastAsia="仿宋_GB2312" w:cs="Times New Roman"/>
          <w:color w:val="auto"/>
          <w:kern w:val="2"/>
          <w:sz w:val="32"/>
          <w:szCs w:val="24"/>
          <w:highlight w:val="none"/>
          <w:lang w:val="en-US" w:eastAsia="zh-CN" w:bidi="ar-SA"/>
        </w:rPr>
        <w:t>应当及时办理固定资产</w:t>
      </w:r>
      <w:r>
        <w:rPr>
          <w:rFonts w:hint="eastAsia" w:ascii="仿宋_GB2312" w:hAnsi="仿宋_GB2312" w:eastAsia="仿宋_GB2312" w:cs="Times New Roman"/>
          <w:color w:val="auto"/>
          <w:kern w:val="2"/>
          <w:sz w:val="32"/>
          <w:szCs w:val="24"/>
          <w:highlight w:val="none"/>
          <w:lang w:val="en-US" w:eastAsia="zh-CN" w:bidi="ar-SA"/>
        </w:rPr>
        <w:t>交付</w:t>
      </w:r>
      <w:r>
        <w:rPr>
          <w:rFonts w:hint="default" w:ascii="仿宋_GB2312" w:hAnsi="仿宋_GB2312" w:eastAsia="仿宋_GB2312" w:cs="Times New Roman"/>
          <w:color w:val="auto"/>
          <w:kern w:val="2"/>
          <w:sz w:val="32"/>
          <w:szCs w:val="24"/>
          <w:highlight w:val="none"/>
          <w:lang w:val="en-US" w:eastAsia="zh-CN" w:bidi="ar-SA"/>
        </w:rPr>
        <w:t>手续。</w:t>
      </w:r>
    </w:p>
    <w:p w14:paraId="5820C12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default"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第九章 建设资金管理</w:t>
      </w:r>
    </w:p>
    <w:p w14:paraId="35E43FD0">
      <w:pPr>
        <w:keepNext/>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学校财务处应</w:t>
      </w:r>
      <w:r>
        <w:rPr>
          <w:rFonts w:hint="eastAsia" w:ascii="仿宋_GB2312" w:hAnsi="仿宋_GB2312" w:eastAsia="仿宋_GB2312" w:cs="Times New Roman"/>
          <w:color w:val="auto"/>
          <w:kern w:val="2"/>
          <w:sz w:val="32"/>
          <w:szCs w:val="24"/>
          <w:highlight w:val="none"/>
          <w:lang w:val="en-US" w:eastAsia="zh-CN" w:bidi="ar-SA"/>
        </w:rPr>
        <w:t>根据学校的财务状况</w:t>
      </w:r>
      <w:r>
        <w:rPr>
          <w:rFonts w:hint="default" w:ascii="仿宋_GB2312" w:hAnsi="仿宋_GB2312" w:eastAsia="仿宋_GB2312" w:cs="Times New Roman"/>
          <w:color w:val="auto"/>
          <w:kern w:val="2"/>
          <w:sz w:val="32"/>
          <w:szCs w:val="24"/>
          <w:highlight w:val="none"/>
          <w:lang w:val="en-US" w:eastAsia="zh-CN" w:bidi="ar-SA"/>
        </w:rPr>
        <w:t>出具</w:t>
      </w:r>
      <w:r>
        <w:rPr>
          <w:rFonts w:hint="eastAsia" w:ascii="仿宋_GB2312" w:hAnsi="仿宋_GB2312" w:eastAsia="仿宋_GB2312" w:cs="Times New Roman"/>
          <w:color w:val="auto"/>
          <w:kern w:val="2"/>
          <w:sz w:val="32"/>
          <w:szCs w:val="24"/>
          <w:highlight w:val="none"/>
          <w:lang w:val="en-US" w:eastAsia="zh-CN" w:bidi="ar-SA"/>
        </w:rPr>
        <w:t>学校基本建设项目的建设</w:t>
      </w:r>
      <w:r>
        <w:rPr>
          <w:rFonts w:hint="default" w:ascii="仿宋_GB2312" w:hAnsi="仿宋_GB2312" w:eastAsia="仿宋_GB2312" w:cs="Times New Roman"/>
          <w:color w:val="auto"/>
          <w:kern w:val="2"/>
          <w:sz w:val="32"/>
          <w:szCs w:val="24"/>
          <w:highlight w:val="none"/>
          <w:lang w:val="en-US" w:eastAsia="zh-CN" w:bidi="ar-SA"/>
        </w:rPr>
        <w:t>资金来源</w:t>
      </w:r>
      <w:r>
        <w:rPr>
          <w:rFonts w:hint="eastAsia" w:ascii="仿宋_GB2312" w:hAnsi="仿宋_GB2312" w:eastAsia="仿宋_GB2312" w:cs="Times New Roman"/>
          <w:color w:val="auto"/>
          <w:kern w:val="2"/>
          <w:sz w:val="32"/>
          <w:szCs w:val="24"/>
          <w:highlight w:val="none"/>
          <w:lang w:val="en-US" w:eastAsia="zh-CN" w:bidi="ar-SA"/>
        </w:rPr>
        <w:t>情况的说明，配合国有资产管理处（基建办）办理项目建设资金来源审核报告</w:t>
      </w:r>
      <w:r>
        <w:rPr>
          <w:rFonts w:hint="default" w:ascii="仿宋_GB2312" w:hAnsi="仿宋_GB2312" w:eastAsia="仿宋_GB2312" w:cs="Times New Roman"/>
          <w:color w:val="auto"/>
          <w:kern w:val="2"/>
          <w:sz w:val="32"/>
          <w:szCs w:val="24"/>
          <w:highlight w:val="none"/>
          <w:lang w:val="en-US" w:eastAsia="zh-CN" w:bidi="ar-SA"/>
        </w:rPr>
        <w:t>。</w:t>
      </w:r>
    </w:p>
    <w:p w14:paraId="5705C25B">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学校基本建设项目的工程款项支付应根据项目的实际情况</w:t>
      </w:r>
      <w:r>
        <w:rPr>
          <w:rFonts w:hint="eastAsia" w:ascii="仿宋_GB2312" w:hAnsi="仿宋_GB2312" w:eastAsia="仿宋_GB2312" w:cs="Times New Roman"/>
          <w:color w:val="auto"/>
          <w:kern w:val="2"/>
          <w:sz w:val="32"/>
          <w:szCs w:val="24"/>
          <w:highlight w:val="none"/>
          <w:lang w:val="en-US" w:eastAsia="zh-CN" w:bidi="ar-SA"/>
        </w:rPr>
        <w:t>确定，</w:t>
      </w:r>
      <w:r>
        <w:rPr>
          <w:rFonts w:hint="default" w:ascii="仿宋_GB2312" w:hAnsi="仿宋_GB2312" w:eastAsia="仿宋_GB2312" w:cs="Times New Roman"/>
          <w:color w:val="auto"/>
          <w:kern w:val="2"/>
          <w:sz w:val="32"/>
          <w:szCs w:val="24"/>
          <w:highlight w:val="none"/>
          <w:lang w:val="en-US" w:eastAsia="zh-CN" w:bidi="ar-SA"/>
        </w:rPr>
        <w:t>可选择按月支付进度款，也可按照工程形象进度，划分不同阶段支付工程进度款。</w:t>
      </w:r>
    </w:p>
    <w:p w14:paraId="610D10AA">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学校基本建设项目工程进度款</w:t>
      </w:r>
      <w:r>
        <w:rPr>
          <w:rFonts w:hint="eastAsia" w:ascii="仿宋_GB2312" w:hAnsi="仿宋_GB2312" w:eastAsia="仿宋_GB2312" w:cs="Times New Roman"/>
          <w:color w:val="auto"/>
          <w:kern w:val="2"/>
          <w:sz w:val="32"/>
          <w:szCs w:val="24"/>
          <w:highlight w:val="none"/>
          <w:lang w:val="en-US" w:eastAsia="zh-CN" w:bidi="ar-SA"/>
        </w:rPr>
        <w:t>的</w:t>
      </w:r>
      <w:r>
        <w:rPr>
          <w:rFonts w:hint="default" w:ascii="仿宋_GB2312" w:hAnsi="仿宋_GB2312" w:eastAsia="仿宋_GB2312" w:cs="Times New Roman"/>
          <w:color w:val="auto"/>
          <w:kern w:val="2"/>
          <w:sz w:val="32"/>
          <w:szCs w:val="24"/>
          <w:highlight w:val="none"/>
          <w:lang w:val="en-US" w:eastAsia="zh-CN" w:bidi="ar-SA"/>
        </w:rPr>
        <w:t>支付比例原则上不得高于已完成工程价款的90%。</w:t>
      </w:r>
    </w:p>
    <w:p w14:paraId="0C496A17">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学校基本建设项目应设置履约保证金和质量保证金，最高缴纳比例和方式按国家和省有关规定执行，</w:t>
      </w:r>
      <w:r>
        <w:rPr>
          <w:rFonts w:hint="eastAsia" w:ascii="仿宋_GB2312" w:hAnsi="仿宋_GB2312" w:eastAsia="仿宋_GB2312" w:cs="Times New Roman"/>
          <w:color w:val="auto"/>
          <w:kern w:val="2"/>
          <w:sz w:val="32"/>
          <w:szCs w:val="24"/>
          <w:highlight w:val="none"/>
          <w:lang w:val="en-US" w:eastAsia="zh-CN" w:bidi="ar-SA"/>
        </w:rPr>
        <w:t>履约保证金和质量保证金的</w:t>
      </w:r>
      <w:r>
        <w:rPr>
          <w:rFonts w:hint="default" w:ascii="仿宋_GB2312" w:hAnsi="仿宋_GB2312" w:eastAsia="仿宋_GB2312" w:cs="Times New Roman"/>
          <w:color w:val="auto"/>
          <w:kern w:val="2"/>
          <w:sz w:val="32"/>
          <w:szCs w:val="24"/>
          <w:highlight w:val="none"/>
          <w:lang w:val="en-US" w:eastAsia="zh-CN" w:bidi="ar-SA"/>
        </w:rPr>
        <w:t>退还方式按照</w:t>
      </w:r>
      <w:r>
        <w:rPr>
          <w:rFonts w:hint="eastAsia" w:ascii="仿宋_GB2312" w:hAnsi="仿宋_GB2312" w:eastAsia="仿宋_GB2312" w:cs="Times New Roman"/>
          <w:color w:val="auto"/>
          <w:kern w:val="2"/>
          <w:sz w:val="32"/>
          <w:szCs w:val="24"/>
          <w:highlight w:val="none"/>
          <w:lang w:val="en-US" w:eastAsia="zh-CN" w:bidi="ar-SA"/>
        </w:rPr>
        <w:t>采购文件和合同约定执行，并按学</w:t>
      </w:r>
      <w:r>
        <w:rPr>
          <w:rFonts w:hint="default" w:ascii="仿宋_GB2312" w:hAnsi="仿宋_GB2312" w:eastAsia="仿宋_GB2312" w:cs="Times New Roman"/>
          <w:color w:val="auto"/>
          <w:kern w:val="2"/>
          <w:sz w:val="32"/>
          <w:szCs w:val="24"/>
          <w:highlight w:val="none"/>
          <w:lang w:val="en-US" w:eastAsia="zh-CN" w:bidi="ar-SA"/>
        </w:rPr>
        <w:t>校相关制度</w:t>
      </w:r>
      <w:r>
        <w:rPr>
          <w:rFonts w:hint="eastAsia" w:ascii="仿宋_GB2312" w:hAnsi="仿宋_GB2312" w:eastAsia="仿宋_GB2312" w:cs="Times New Roman"/>
          <w:color w:val="auto"/>
          <w:kern w:val="2"/>
          <w:sz w:val="32"/>
          <w:szCs w:val="24"/>
          <w:highlight w:val="none"/>
          <w:lang w:val="en-US" w:eastAsia="zh-CN" w:bidi="ar-SA"/>
        </w:rPr>
        <w:t>规定履行审批手续。</w:t>
      </w:r>
    </w:p>
    <w:p w14:paraId="29359A6D">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eastAsia" w:ascii="仿宋_GB2312" w:hAnsi="仿宋_GB2312" w:eastAsia="仿宋_GB2312" w:cs="Times New Roman"/>
          <w:color w:val="auto"/>
          <w:kern w:val="2"/>
          <w:sz w:val="32"/>
          <w:szCs w:val="24"/>
          <w:highlight w:val="none"/>
          <w:lang w:val="en-US" w:eastAsia="zh-CN" w:bidi="ar-SA"/>
        </w:rPr>
        <w:t>学校应当严格管理基本建设资金使用和审批程序，做到建设资金规范运行，提高建设资金使用效益。</w:t>
      </w:r>
    </w:p>
    <w:p w14:paraId="0784AFA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default"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第十章 监督与评价</w:t>
      </w:r>
    </w:p>
    <w:p w14:paraId="573F4A4A">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学校应当依照国家、省相关规定，建立健全建设项目的决策、管理、监督、制约机制和制度，加强对建设项目各个环节的监督管理，把廉政建设责任落实到位，把廉政风险防范融入建设项目的日常管理工作之中。</w:t>
      </w:r>
    </w:p>
    <w:p w14:paraId="59BA09B9">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各级领导干部应当严格执行国家和省关于严禁领导干部违反规定插手干预基本建设工程项目管理行为的规定。要按照省工程建设项目信息公开的要求，通过省级信息公开网络平台及时、准确地发布建设项目管理信息，接受社会监督。</w:t>
      </w:r>
    </w:p>
    <w:p w14:paraId="240C646E">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学校应当根据相关规定加强对建设项目内部审计工作，建立健全建设项目内部审计制度，规范内部审计工作程序如下：</w:t>
      </w:r>
    </w:p>
    <w:p w14:paraId="245EE5A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（一）建设项目竣工后，</w:t>
      </w:r>
      <w:r>
        <w:rPr>
          <w:rFonts w:hint="eastAsia" w:ascii="仿宋_GB2312" w:hAnsi="仿宋_GB2312" w:cs="Times New Roman"/>
          <w:color w:val="auto"/>
          <w:szCs w:val="24"/>
          <w:highlight w:val="none"/>
          <w:lang w:val="en-US" w:eastAsia="zh-CN"/>
        </w:rPr>
        <w:t>国有资产管理处（基建办）根据相关规定初步审查竣工结算资料</w:t>
      </w:r>
      <w:r>
        <w:rPr>
          <w:rFonts w:hint="default" w:ascii="仿宋_GB2312" w:hAnsi="仿宋_GB2312" w:cs="Times New Roman"/>
          <w:color w:val="auto"/>
          <w:szCs w:val="24"/>
          <w:highlight w:val="none"/>
          <w:lang w:val="en-US" w:eastAsia="zh-CN"/>
        </w:rPr>
        <w:t>，</w:t>
      </w:r>
      <w:r>
        <w:rPr>
          <w:rFonts w:hint="eastAsia" w:ascii="仿宋_GB2312" w:hAnsi="仿宋_GB2312" w:cs="Times New Roman"/>
          <w:color w:val="auto"/>
          <w:szCs w:val="24"/>
          <w:highlight w:val="none"/>
          <w:lang w:val="en-US" w:eastAsia="zh-CN"/>
        </w:rPr>
        <w:t>以确保</w:t>
      </w:r>
      <w:r>
        <w:rPr>
          <w:rFonts w:hint="default" w:ascii="仿宋_GB2312" w:hAnsi="仿宋_GB2312" w:cs="Times New Roman"/>
          <w:color w:val="auto"/>
          <w:szCs w:val="24"/>
          <w:highlight w:val="none"/>
          <w:lang w:val="en-US" w:eastAsia="zh-CN"/>
        </w:rPr>
        <w:t>资料的真实</w:t>
      </w:r>
      <w:r>
        <w:rPr>
          <w:rFonts w:hint="eastAsia" w:ascii="仿宋_GB2312" w:hAnsi="仿宋_GB2312" w:cs="Times New Roman"/>
          <w:color w:val="auto"/>
          <w:szCs w:val="24"/>
          <w:highlight w:val="none"/>
          <w:lang w:val="en-US" w:eastAsia="zh-CN"/>
        </w:rPr>
        <w:t>性</w:t>
      </w:r>
      <w:r>
        <w:rPr>
          <w:rFonts w:hint="default" w:ascii="仿宋_GB2312" w:hAnsi="仿宋_GB2312" w:cs="Times New Roman"/>
          <w:color w:val="auto"/>
          <w:szCs w:val="24"/>
          <w:highlight w:val="none"/>
          <w:lang w:val="en-US" w:eastAsia="zh-CN"/>
        </w:rPr>
        <w:t>、完整</w:t>
      </w:r>
      <w:r>
        <w:rPr>
          <w:rFonts w:hint="eastAsia" w:ascii="仿宋_GB2312" w:hAnsi="仿宋_GB2312" w:cs="Times New Roman"/>
          <w:color w:val="auto"/>
          <w:szCs w:val="24"/>
          <w:highlight w:val="none"/>
          <w:lang w:val="en-US" w:eastAsia="zh-CN"/>
        </w:rPr>
        <w:t>性</w:t>
      </w:r>
      <w:r>
        <w:rPr>
          <w:rFonts w:hint="default" w:ascii="仿宋_GB2312" w:hAnsi="仿宋_GB2312" w:cs="Times New Roman"/>
          <w:color w:val="auto"/>
          <w:szCs w:val="24"/>
          <w:highlight w:val="none"/>
          <w:lang w:val="en-US" w:eastAsia="zh-CN"/>
        </w:rPr>
        <w:t>、准确性。</w:t>
      </w:r>
    </w:p>
    <w:p w14:paraId="4E49C35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cs="Times New Roman"/>
          <w:color w:val="auto"/>
          <w:szCs w:val="24"/>
          <w:highlight w:val="none"/>
          <w:lang w:val="en-US" w:eastAsia="zh-CN"/>
        </w:rPr>
      </w:pPr>
      <w:r>
        <w:rPr>
          <w:rFonts w:hint="default" w:ascii="仿宋_GB2312" w:hAnsi="仿宋_GB2312" w:cs="Times New Roman"/>
          <w:color w:val="auto"/>
          <w:szCs w:val="24"/>
          <w:highlight w:val="none"/>
          <w:lang w:val="en-US" w:eastAsia="zh-CN"/>
        </w:rPr>
        <w:t>（二）</w:t>
      </w:r>
      <w:r>
        <w:rPr>
          <w:rFonts w:hint="eastAsia" w:ascii="仿宋_GB2312" w:hAnsi="仿宋_GB2312" w:cs="Times New Roman"/>
          <w:color w:val="auto"/>
          <w:szCs w:val="24"/>
          <w:highlight w:val="none"/>
          <w:lang w:val="en-US" w:eastAsia="zh-CN"/>
        </w:rPr>
        <w:t>国有资产管理处（基建办）</w:t>
      </w:r>
      <w:r>
        <w:rPr>
          <w:rFonts w:hint="default" w:ascii="仿宋_GB2312" w:hAnsi="仿宋_GB2312" w:cs="Times New Roman"/>
          <w:color w:val="auto"/>
          <w:szCs w:val="24"/>
          <w:highlight w:val="none"/>
          <w:lang w:val="en-US" w:eastAsia="zh-CN"/>
        </w:rPr>
        <w:t>根据学校基本建设项目竣工结算审计的相关规定，将审查后的竣工结算资料报送审计处，由审计处</w:t>
      </w:r>
      <w:r>
        <w:rPr>
          <w:rFonts w:hint="eastAsia" w:ascii="仿宋_GB2312" w:hAnsi="仿宋_GB2312" w:cs="Times New Roman"/>
          <w:color w:val="auto"/>
          <w:szCs w:val="24"/>
          <w:highlight w:val="none"/>
          <w:lang w:val="en-US" w:eastAsia="zh-CN"/>
        </w:rPr>
        <w:t>在规定时间内</w:t>
      </w:r>
      <w:r>
        <w:rPr>
          <w:rFonts w:hint="default" w:ascii="仿宋_GB2312" w:hAnsi="仿宋_GB2312" w:cs="Times New Roman"/>
          <w:color w:val="auto"/>
          <w:szCs w:val="24"/>
          <w:highlight w:val="none"/>
          <w:lang w:val="en-US" w:eastAsia="zh-CN"/>
        </w:rPr>
        <w:t>负责</w:t>
      </w:r>
      <w:r>
        <w:rPr>
          <w:rFonts w:hint="eastAsia" w:ascii="仿宋_GB2312" w:hAnsi="仿宋_GB2312" w:cs="Times New Roman"/>
          <w:color w:val="auto"/>
          <w:szCs w:val="24"/>
          <w:highlight w:val="none"/>
          <w:lang w:val="en-US" w:eastAsia="zh-CN"/>
        </w:rPr>
        <w:t>完成</w:t>
      </w:r>
      <w:r>
        <w:rPr>
          <w:rFonts w:hint="default" w:ascii="仿宋_GB2312" w:hAnsi="仿宋_GB2312" w:cs="Times New Roman"/>
          <w:color w:val="auto"/>
          <w:szCs w:val="24"/>
          <w:highlight w:val="none"/>
          <w:lang w:val="en-US" w:eastAsia="zh-CN"/>
        </w:rPr>
        <w:t>工程结算审计。</w:t>
      </w:r>
    </w:p>
    <w:p w14:paraId="2A6F2C18">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学校应当规范项目监督，加强对项目招标投标、建设监理、合同管理等关键环节的监督检查。项目责任人或代建机构、勘察设计、施工、监理等单位的名称和责任人姓名应当在施工现场的显著位置公示；学校纪检监察等监督职能部门应当公布举报电话、设立信箱，受理对项目建设中违法违纪违规问题的举报。</w:t>
      </w:r>
    </w:p>
    <w:p w14:paraId="6025C13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60" w:lineRule="exact"/>
        <w:ind w:leftChars="0"/>
        <w:jc w:val="center"/>
        <w:textAlignment w:val="auto"/>
        <w:outlineLvl w:val="1"/>
        <w:rPr>
          <w:rFonts w:hint="default" w:ascii="Arial" w:hAnsi="Arial" w:eastAsia="黑体" w:cs="Times New Roman"/>
          <w:color w:val="auto"/>
          <w:kern w:val="2"/>
          <w:sz w:val="32"/>
          <w:szCs w:val="24"/>
          <w:highlight w:val="none"/>
          <w:lang w:val="en-US" w:eastAsia="zh-CN" w:bidi="ar-SA"/>
        </w:rPr>
      </w:pPr>
      <w:r>
        <w:rPr>
          <w:rFonts w:hint="eastAsia" w:ascii="Arial" w:hAnsi="Arial" w:eastAsia="黑体" w:cs="Times New Roman"/>
          <w:color w:val="auto"/>
          <w:kern w:val="2"/>
          <w:sz w:val="32"/>
          <w:szCs w:val="24"/>
          <w:highlight w:val="none"/>
          <w:lang w:val="en-US" w:eastAsia="zh-CN" w:bidi="ar-SA"/>
        </w:rPr>
        <w:t>第十一章 附 则</w:t>
      </w:r>
    </w:p>
    <w:p w14:paraId="1C530521">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本办法自发布之日起施行。原《安徽建筑大学基本建设管理办法》（校字〔2016〕59号）同时废止。</w:t>
      </w:r>
    </w:p>
    <w:p w14:paraId="640F769D">
      <w:pPr>
        <w:keepNext w:val="0"/>
        <w:keepLines w:val="0"/>
        <w:pageBreakBefore w:val="0"/>
        <w:widowControl w:val="0"/>
        <w:numPr>
          <w:ilvl w:val="2"/>
          <w:numId w:val="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default" w:ascii="仿宋_GB2312" w:hAnsi="仿宋_GB2312" w:eastAsia="仿宋_GB2312" w:cs="Times New Roman"/>
          <w:color w:val="auto"/>
          <w:kern w:val="2"/>
          <w:sz w:val="32"/>
          <w:szCs w:val="24"/>
          <w:highlight w:val="none"/>
          <w:lang w:val="en-US" w:eastAsia="zh-CN" w:bidi="ar-SA"/>
        </w:rPr>
      </w:pPr>
      <w:r>
        <w:rPr>
          <w:rFonts w:hint="default" w:ascii="仿宋_GB2312" w:hAnsi="仿宋_GB2312" w:eastAsia="仿宋_GB2312" w:cs="Times New Roman"/>
          <w:color w:val="auto"/>
          <w:kern w:val="2"/>
          <w:sz w:val="32"/>
          <w:szCs w:val="24"/>
          <w:highlight w:val="none"/>
          <w:lang w:val="en-US" w:eastAsia="zh-CN" w:bidi="ar-SA"/>
        </w:rPr>
        <w:t>本办法由</w:t>
      </w:r>
      <w:r>
        <w:rPr>
          <w:rFonts w:hint="eastAsia" w:ascii="仿宋_GB2312" w:hAnsi="仿宋_GB2312" w:eastAsia="仿宋_GB2312" w:cs="Times New Roman"/>
          <w:color w:val="auto"/>
          <w:kern w:val="2"/>
          <w:sz w:val="32"/>
          <w:szCs w:val="24"/>
          <w:highlight w:val="none"/>
          <w:lang w:val="en-US" w:eastAsia="zh-CN" w:bidi="ar-SA"/>
        </w:rPr>
        <w:t>国有资产管理处（基建办）</w:t>
      </w:r>
      <w:r>
        <w:rPr>
          <w:rFonts w:hint="default" w:ascii="仿宋_GB2312" w:hAnsi="仿宋_GB2312" w:eastAsia="仿宋_GB2312" w:cs="Times New Roman"/>
          <w:color w:val="auto"/>
          <w:kern w:val="2"/>
          <w:sz w:val="32"/>
          <w:szCs w:val="24"/>
          <w:highlight w:val="none"/>
          <w:lang w:val="en-US" w:eastAsia="zh-CN" w:bidi="ar-SA"/>
        </w:rPr>
        <w:t>负责解释。</w:t>
      </w:r>
    </w:p>
    <w:p w14:paraId="37C8AF6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cs="仿宋_GB2312"/>
          <w:lang w:val="en-US" w:eastAsia="zh-CN"/>
        </w:rPr>
      </w:pPr>
    </w:p>
    <w:bookmarkEnd w:id="3"/>
    <w:p w14:paraId="4A52B418">
      <w:pPr>
        <w:widowControl/>
        <w:ind w:firstLine="320" w:firstLineChars="100"/>
        <w:jc w:val="left"/>
        <w:rPr>
          <w:rFonts w:ascii="仿宋_GB2312" w:hAnsi="宋体" w:cs="宋体"/>
          <w:kern w:val="0"/>
          <w:szCs w:val="32"/>
        </w:rPr>
      </w:pPr>
      <w:r>
        <w:rPr>
          <w:rFonts w:hint="eastAsia" w:ascii="仿宋_GB2312" w:hAnsi="宋体" w:cs="宋体"/>
          <w:kern w:val="0"/>
          <w:szCs w:val="32"/>
        </w:rPr>
        <w:t xml:space="preserve"> </w:t>
      </w:r>
      <w:r>
        <w:rPr>
          <w:rFonts w:ascii="仿宋_GB2312" w:hAnsi="宋体" w:cs="宋体"/>
          <w:kern w:val="0"/>
          <w:szCs w:val="32"/>
        </w:rPr>
        <w:t xml:space="preserve">  </w:t>
      </w:r>
    </w:p>
    <w:p w14:paraId="41C8CFB1">
      <w:pPr>
        <w:widowControl/>
        <w:shd w:val="clear" w:color="auto" w:fill="FFFFFF"/>
        <w:spacing w:line="560" w:lineRule="exact"/>
        <w:jc w:val="left"/>
        <w:rPr>
          <w:rFonts w:ascii="仿宋_GB2312" w:hAnsi="微软雅黑" w:cs="仿宋_GB2312"/>
          <w:kern w:val="0"/>
          <w:szCs w:val="32"/>
          <w:shd w:val="clear" w:color="auto" w:fill="FFFFFF"/>
          <w:lang w:bidi="ar"/>
        </w:rPr>
      </w:pPr>
    </w:p>
    <w:p w14:paraId="1BACF7E6">
      <w:pPr>
        <w:widowControl/>
        <w:shd w:val="clear" w:color="auto" w:fill="FFFFFF"/>
        <w:spacing w:line="560" w:lineRule="exact"/>
        <w:jc w:val="left"/>
        <w:rPr>
          <w:rFonts w:ascii="仿宋_GB2312" w:hAnsi="微软雅黑" w:cs="仿宋_GB2312"/>
          <w:kern w:val="0"/>
          <w:szCs w:val="32"/>
          <w:shd w:val="clear" w:color="auto" w:fill="FFFFFF"/>
          <w:lang w:bidi="ar"/>
        </w:rPr>
      </w:pPr>
    </w:p>
    <w:p w14:paraId="1E13AF6E">
      <w:pPr>
        <w:widowControl/>
        <w:shd w:val="clear" w:color="auto" w:fill="FFFFFF"/>
        <w:spacing w:line="560" w:lineRule="exact"/>
        <w:jc w:val="left"/>
        <w:rPr>
          <w:rFonts w:ascii="仿宋_GB2312" w:hAnsi="微软雅黑" w:cs="仿宋_GB2312"/>
          <w:kern w:val="0"/>
          <w:szCs w:val="32"/>
          <w:shd w:val="clear" w:color="auto" w:fill="FFFFFF"/>
          <w:lang w:bidi="ar"/>
        </w:rPr>
      </w:pPr>
    </w:p>
    <w:p w14:paraId="21DA8F63">
      <w:pPr>
        <w:widowControl/>
        <w:shd w:val="clear" w:color="auto" w:fill="FFFFFF"/>
        <w:spacing w:line="560" w:lineRule="exact"/>
        <w:jc w:val="left"/>
        <w:rPr>
          <w:rFonts w:ascii="仿宋_GB2312" w:hAnsi="微软雅黑" w:cs="仿宋_GB2312"/>
          <w:kern w:val="0"/>
          <w:szCs w:val="32"/>
          <w:shd w:val="clear" w:color="auto" w:fill="FFFFFF"/>
          <w:lang w:bidi="ar"/>
        </w:rPr>
      </w:pPr>
    </w:p>
    <w:p w14:paraId="4B150682">
      <w:pPr>
        <w:widowControl/>
        <w:shd w:val="clear" w:color="auto" w:fill="FFFFFF"/>
        <w:spacing w:line="560" w:lineRule="exact"/>
        <w:jc w:val="left"/>
        <w:rPr>
          <w:rFonts w:ascii="仿宋_GB2312" w:hAnsi="微软雅黑" w:cs="仿宋_GB2312"/>
          <w:kern w:val="0"/>
          <w:szCs w:val="32"/>
          <w:shd w:val="clear" w:color="auto" w:fill="FFFFFF"/>
          <w:lang w:bidi="ar"/>
        </w:rPr>
      </w:pPr>
    </w:p>
    <w:p w14:paraId="643734DC">
      <w:pPr>
        <w:widowControl/>
        <w:shd w:val="clear" w:color="auto" w:fill="FFFFFF"/>
        <w:spacing w:line="560" w:lineRule="exact"/>
        <w:jc w:val="left"/>
        <w:rPr>
          <w:rFonts w:ascii="仿宋_GB2312" w:hAnsi="微软雅黑" w:cs="仿宋_GB2312"/>
          <w:kern w:val="0"/>
          <w:szCs w:val="32"/>
          <w:shd w:val="clear" w:color="auto" w:fill="FFFFFF"/>
          <w:lang w:bidi="ar"/>
        </w:rPr>
      </w:pPr>
    </w:p>
    <w:p w14:paraId="638C47B7">
      <w:pPr>
        <w:widowControl/>
        <w:shd w:val="clear" w:color="auto" w:fill="FFFFFF"/>
        <w:spacing w:line="560" w:lineRule="exact"/>
        <w:jc w:val="left"/>
        <w:rPr>
          <w:rFonts w:ascii="仿宋_GB2312" w:hAnsi="微软雅黑" w:cs="仿宋_GB2312"/>
          <w:kern w:val="0"/>
          <w:szCs w:val="32"/>
          <w:shd w:val="clear" w:color="auto" w:fill="FFFFFF"/>
          <w:lang w:bidi="ar"/>
        </w:rPr>
      </w:pPr>
    </w:p>
    <w:p w14:paraId="00275933">
      <w:pPr>
        <w:widowControl/>
        <w:shd w:val="clear" w:color="auto" w:fill="FFFFFF"/>
        <w:spacing w:line="560" w:lineRule="exact"/>
        <w:jc w:val="left"/>
        <w:rPr>
          <w:rFonts w:ascii="仿宋_GB2312" w:hAnsi="微软雅黑" w:cs="仿宋_GB2312"/>
          <w:kern w:val="0"/>
          <w:szCs w:val="32"/>
          <w:shd w:val="clear" w:color="auto" w:fill="FFFFFF"/>
          <w:lang w:bidi="ar"/>
        </w:rPr>
      </w:pPr>
    </w:p>
    <w:p w14:paraId="6D6E8B99">
      <w:pPr>
        <w:widowControl/>
        <w:shd w:val="clear" w:color="auto" w:fill="FFFFFF"/>
        <w:spacing w:line="560" w:lineRule="exact"/>
        <w:jc w:val="left"/>
        <w:rPr>
          <w:rFonts w:ascii="仿宋_GB2312" w:hAnsi="微软雅黑" w:cs="仿宋_GB2312"/>
          <w:kern w:val="0"/>
          <w:szCs w:val="32"/>
          <w:shd w:val="clear" w:color="auto" w:fill="FFFFFF"/>
          <w:lang w:bidi="ar"/>
        </w:rPr>
      </w:pPr>
    </w:p>
    <w:p w14:paraId="7BA6C885">
      <w:pPr>
        <w:widowControl/>
        <w:shd w:val="clear" w:color="auto" w:fill="FFFFFF"/>
        <w:spacing w:line="560" w:lineRule="exact"/>
        <w:jc w:val="left"/>
        <w:rPr>
          <w:rFonts w:ascii="仿宋_GB2312" w:hAnsi="微软雅黑" w:cs="仿宋_GB2312"/>
          <w:kern w:val="0"/>
          <w:szCs w:val="32"/>
          <w:shd w:val="clear" w:color="auto" w:fill="FFFFFF"/>
          <w:lang w:bidi="ar"/>
        </w:rPr>
      </w:pPr>
    </w:p>
    <w:p w14:paraId="052D654E">
      <w:pPr>
        <w:widowControl/>
        <w:shd w:val="clear" w:color="auto" w:fill="FFFFFF"/>
        <w:spacing w:line="560" w:lineRule="exact"/>
        <w:jc w:val="left"/>
        <w:rPr>
          <w:rFonts w:ascii="仿宋_GB2312" w:hAnsi="微软雅黑" w:cs="仿宋_GB2312"/>
          <w:kern w:val="0"/>
          <w:szCs w:val="32"/>
          <w:shd w:val="clear" w:color="auto" w:fill="FFFFFF"/>
          <w:lang w:bidi="ar"/>
        </w:rPr>
      </w:pPr>
    </w:p>
    <w:p w14:paraId="4C30886B">
      <w:pPr>
        <w:widowControl/>
        <w:shd w:val="clear" w:color="auto" w:fill="FFFFFF"/>
        <w:spacing w:line="560" w:lineRule="exact"/>
        <w:jc w:val="left"/>
        <w:rPr>
          <w:rFonts w:ascii="仿宋_GB2312" w:hAnsi="微软雅黑" w:cs="仿宋_GB2312"/>
          <w:kern w:val="0"/>
          <w:szCs w:val="32"/>
          <w:shd w:val="clear" w:color="auto" w:fill="FFFFFF"/>
          <w:lang w:bidi="ar"/>
        </w:rPr>
      </w:pPr>
    </w:p>
    <w:p w14:paraId="018DE799">
      <w:pPr>
        <w:widowControl/>
        <w:shd w:val="clear" w:color="auto" w:fill="FFFFFF"/>
        <w:spacing w:line="560" w:lineRule="exact"/>
        <w:jc w:val="left"/>
        <w:rPr>
          <w:rFonts w:ascii="仿宋_GB2312" w:hAnsi="微软雅黑" w:cs="仿宋_GB2312"/>
          <w:kern w:val="0"/>
          <w:szCs w:val="32"/>
          <w:shd w:val="clear" w:color="auto" w:fill="FFFFFF"/>
          <w:lang w:bidi="ar"/>
        </w:rPr>
      </w:pPr>
    </w:p>
    <w:p w14:paraId="5F51667D">
      <w:pPr>
        <w:widowControl/>
        <w:shd w:val="clear" w:color="auto" w:fill="FFFFFF"/>
        <w:spacing w:line="560" w:lineRule="exact"/>
        <w:jc w:val="left"/>
        <w:rPr>
          <w:rFonts w:ascii="仿宋_GB2312" w:hAnsi="微软雅黑" w:cs="仿宋_GB2312"/>
          <w:kern w:val="0"/>
          <w:szCs w:val="32"/>
          <w:shd w:val="clear" w:color="auto" w:fill="FFFFFF"/>
          <w:lang w:bidi="ar"/>
        </w:rPr>
      </w:pPr>
    </w:p>
    <w:p w14:paraId="38B95093">
      <w:pPr>
        <w:widowControl/>
        <w:shd w:val="clear" w:color="auto" w:fill="FFFFFF"/>
        <w:spacing w:line="560" w:lineRule="exact"/>
        <w:jc w:val="left"/>
        <w:rPr>
          <w:rFonts w:ascii="仿宋_GB2312" w:hAnsi="微软雅黑" w:cs="仿宋_GB2312"/>
          <w:kern w:val="0"/>
          <w:szCs w:val="32"/>
          <w:shd w:val="clear" w:color="auto" w:fill="FFFFFF"/>
          <w:lang w:bidi="ar"/>
        </w:rPr>
      </w:pPr>
    </w:p>
    <w:p w14:paraId="6DC16CC6">
      <w:pPr>
        <w:widowControl/>
        <w:shd w:val="clear" w:color="auto" w:fill="FFFFFF"/>
        <w:spacing w:line="560" w:lineRule="exact"/>
        <w:jc w:val="left"/>
        <w:rPr>
          <w:rFonts w:ascii="仿宋_GB2312" w:hAnsi="微软雅黑" w:cs="仿宋_GB2312"/>
          <w:kern w:val="0"/>
          <w:szCs w:val="32"/>
          <w:shd w:val="clear" w:color="auto" w:fill="FFFFFF"/>
          <w:lang w:bidi="ar"/>
        </w:rPr>
      </w:pPr>
    </w:p>
    <w:p w14:paraId="7F54D2EA">
      <w:pPr>
        <w:widowControl/>
        <w:shd w:val="clear" w:color="auto" w:fill="FFFFFF"/>
        <w:spacing w:line="560" w:lineRule="exact"/>
        <w:jc w:val="left"/>
        <w:rPr>
          <w:rFonts w:ascii="仿宋_GB2312" w:hAnsi="微软雅黑" w:cs="仿宋_GB2312"/>
          <w:kern w:val="0"/>
          <w:szCs w:val="32"/>
          <w:shd w:val="clear" w:color="auto" w:fill="FFFFFF"/>
          <w:lang w:bidi="ar"/>
        </w:rPr>
      </w:pPr>
    </w:p>
    <w:p w14:paraId="21CC89E4">
      <w:pPr>
        <w:widowControl/>
        <w:shd w:val="clear" w:color="auto" w:fill="FFFFFF"/>
        <w:spacing w:line="560" w:lineRule="exact"/>
        <w:jc w:val="left"/>
        <w:rPr>
          <w:rFonts w:ascii="仿宋_GB2312" w:hAnsi="微软雅黑" w:cs="仿宋_GB2312"/>
          <w:kern w:val="0"/>
          <w:szCs w:val="32"/>
          <w:shd w:val="clear" w:color="auto" w:fill="FFFFFF"/>
          <w:lang w:bidi="ar"/>
        </w:rPr>
      </w:pPr>
    </w:p>
    <w:p w14:paraId="203EA183">
      <w:pPr>
        <w:widowControl/>
        <w:shd w:val="clear" w:color="auto" w:fill="FFFFFF"/>
        <w:spacing w:line="560" w:lineRule="exact"/>
        <w:jc w:val="left"/>
        <w:rPr>
          <w:rFonts w:ascii="仿宋_GB2312" w:hAnsi="微软雅黑" w:cs="仿宋_GB2312"/>
          <w:kern w:val="0"/>
          <w:szCs w:val="32"/>
          <w:shd w:val="clear" w:color="auto" w:fill="FFFFFF"/>
          <w:lang w:bidi="ar"/>
        </w:rPr>
      </w:pPr>
    </w:p>
    <w:p w14:paraId="617EE874">
      <w:pPr>
        <w:widowControl/>
        <w:shd w:val="clear" w:color="auto" w:fill="FFFFFF"/>
        <w:spacing w:line="560" w:lineRule="exact"/>
        <w:jc w:val="left"/>
        <w:rPr>
          <w:rFonts w:ascii="仿宋_GB2312" w:hAnsi="微软雅黑" w:cs="仿宋_GB2312"/>
          <w:kern w:val="0"/>
          <w:szCs w:val="32"/>
          <w:shd w:val="clear" w:color="auto" w:fill="FFFFFF"/>
          <w:lang w:bidi="ar"/>
        </w:rPr>
      </w:pPr>
    </w:p>
    <w:p w14:paraId="1AE940B1">
      <w:pPr>
        <w:widowControl/>
        <w:shd w:val="clear" w:color="auto" w:fill="FFFFFF"/>
        <w:spacing w:line="560" w:lineRule="exact"/>
        <w:jc w:val="left"/>
        <w:rPr>
          <w:rFonts w:ascii="仿宋_GB2312" w:hAnsi="微软雅黑" w:cs="仿宋_GB2312"/>
          <w:kern w:val="0"/>
          <w:szCs w:val="32"/>
          <w:shd w:val="clear" w:color="auto" w:fill="FFFFFF"/>
          <w:lang w:bidi="ar"/>
        </w:rPr>
      </w:pPr>
    </w:p>
    <w:p w14:paraId="1D73DE71">
      <w:pPr>
        <w:widowControl/>
        <w:shd w:val="clear" w:color="auto" w:fill="FFFFFF"/>
        <w:spacing w:line="560" w:lineRule="exact"/>
        <w:jc w:val="left"/>
        <w:rPr>
          <w:rFonts w:ascii="仿宋_GB2312" w:hAnsi="微软雅黑" w:cs="仿宋_GB2312"/>
          <w:kern w:val="0"/>
          <w:szCs w:val="32"/>
          <w:shd w:val="clear" w:color="auto" w:fill="FFFFFF"/>
          <w:lang w:bidi="ar"/>
        </w:rPr>
      </w:pPr>
    </w:p>
    <w:p w14:paraId="7077D6DE">
      <w:pPr>
        <w:widowControl/>
        <w:shd w:val="clear" w:color="auto" w:fill="FFFFFF"/>
        <w:spacing w:line="560" w:lineRule="exact"/>
        <w:jc w:val="left"/>
        <w:rPr>
          <w:rFonts w:ascii="仿宋_GB2312" w:hAnsi="微软雅黑" w:cs="仿宋_GB2312"/>
          <w:kern w:val="0"/>
          <w:szCs w:val="32"/>
          <w:shd w:val="clear" w:color="auto" w:fill="FFFFFF"/>
          <w:lang w:bidi="ar"/>
        </w:rPr>
      </w:pPr>
    </w:p>
    <w:p w14:paraId="78178B74">
      <w:pPr>
        <w:widowControl/>
        <w:shd w:val="clear" w:color="auto" w:fill="FFFFFF"/>
        <w:spacing w:line="560" w:lineRule="exact"/>
        <w:jc w:val="left"/>
        <w:rPr>
          <w:rFonts w:ascii="仿宋_GB2312" w:hAnsi="微软雅黑" w:cs="仿宋_GB2312"/>
          <w:kern w:val="0"/>
          <w:szCs w:val="32"/>
          <w:shd w:val="clear" w:color="auto" w:fill="FFFFFF"/>
          <w:lang w:bidi="ar"/>
        </w:rPr>
      </w:pPr>
    </w:p>
    <w:p w14:paraId="6D019BF3">
      <w:pPr>
        <w:pBdr>
          <w:top w:val="single" w:color="auto" w:sz="4" w:space="0"/>
          <w:bottom w:val="single" w:color="auto" w:sz="4" w:space="0"/>
        </w:pBdr>
        <w:spacing w:line="560" w:lineRule="exact"/>
        <w:ind w:firstLine="320" w:firstLineChars="100"/>
        <w:rPr>
          <w:rFonts w:ascii="仿宋_GB2312" w:hAnsi="宋体" w:cs="宋体"/>
          <w:kern w:val="0"/>
          <w:szCs w:val="32"/>
        </w:rPr>
      </w:pPr>
      <w:r>
        <w:rPr>
          <w:rFonts w:hint="eastAsia" w:ascii="仿宋_GB2312" w:hAnsi="宋体" w:cs="宋体"/>
          <w:kern w:val="0"/>
          <w:szCs w:val="32"/>
        </w:rPr>
        <w:t xml:space="preserve">安徽建筑大学               </w:t>
      </w:r>
      <w:bookmarkStart w:id="4" w:name="PO_FORMATION_DATE"/>
      <w:r>
        <w:rPr>
          <w:rFonts w:hint="eastAsia" w:ascii="仿宋_GB2312" w:hAnsi="宋体" w:cs="宋体"/>
          <w:kern w:val="0"/>
          <w:szCs w:val="32"/>
          <w:lang w:eastAsia="zh-CN"/>
        </w:rPr>
        <w:t>2024年6月19日</w:t>
      </w:r>
      <w:bookmarkEnd w:id="4"/>
      <w:r>
        <w:rPr>
          <w:rFonts w:hint="eastAsia" w:ascii="仿宋_GB2312" w:hAnsi="宋体" w:cs="宋体"/>
          <w:kern w:val="0"/>
          <w:szCs w:val="32"/>
        </w:rPr>
        <w:t>印发</w:t>
      </w:r>
    </w:p>
    <w:p w14:paraId="4CEC63BC">
      <w:pPr>
        <w:pBdr>
          <w:bottom w:val="single" w:color="auto" w:sz="4" w:space="0"/>
        </w:pBdr>
        <w:spacing w:line="560" w:lineRule="exact"/>
        <w:ind w:firstLine="320" w:firstLineChars="100"/>
      </w:pPr>
      <w:r>
        <w:rPr>
          <w:rFonts w:hint="eastAsia" w:ascii="仿宋_GB2312" w:hAnsi="宋体" w:cs="宋体"/>
          <w:kern w:val="0"/>
          <w:szCs w:val="32"/>
        </w:rPr>
        <w:t>打印：</w:t>
      </w:r>
      <w:bookmarkStart w:id="5" w:name="PO_YL02"/>
      <w:r>
        <w:rPr>
          <w:rFonts w:hint="eastAsia" w:ascii="仿宋_GB2312" w:hAnsi="宋体" w:cs="宋体"/>
          <w:kern w:val="0"/>
          <w:szCs w:val="32"/>
          <w:lang w:eastAsia="zh-CN"/>
        </w:rPr>
        <w:t>吴娟</w:t>
      </w:r>
      <w:bookmarkEnd w:id="5"/>
      <w:r>
        <w:rPr>
          <w:rFonts w:hint="eastAsia" w:ascii="仿宋_GB2312" w:hAnsi="宋体" w:cs="宋体"/>
          <w:kern w:val="0"/>
          <w:szCs w:val="32"/>
        </w:rPr>
        <w:t xml:space="preserve">        校对：</w:t>
      </w:r>
      <w:bookmarkStart w:id="6" w:name="PO_CHECK_NAME"/>
      <w:r>
        <w:rPr>
          <w:rFonts w:hint="eastAsia" w:ascii="仿宋_GB2312" w:hAnsi="宋体" w:cs="宋体"/>
          <w:kern w:val="0"/>
          <w:szCs w:val="32"/>
          <w:lang w:eastAsia="zh-CN"/>
        </w:rPr>
        <w:t>魏蒙蒙</w:t>
      </w:r>
      <w:bookmarkEnd w:id="6"/>
      <w:r>
        <w:rPr>
          <w:rFonts w:hint="eastAsia" w:ascii="仿宋_GB2312" w:hAnsi="宋体" w:cs="宋体"/>
          <w:kern w:val="0"/>
          <w:szCs w:val="32"/>
        </w:rPr>
        <w:t xml:space="preserve">         共印 </w:t>
      </w:r>
      <w:bookmarkStart w:id="7" w:name="PO_YL01"/>
      <w:r>
        <w:rPr>
          <w:rFonts w:hint="eastAsia" w:ascii="仿宋_GB2312" w:hAnsi="宋体" w:cs="宋体"/>
          <w:kern w:val="0"/>
          <w:szCs w:val="32"/>
          <w:lang w:eastAsia="zh-CN"/>
        </w:rPr>
        <w:t>6</w:t>
      </w:r>
      <w:bookmarkEnd w:id="7"/>
      <w:r>
        <w:rPr>
          <w:rFonts w:hint="eastAsia" w:ascii="仿宋_GB2312" w:hAnsi="宋体" w:cs="宋体"/>
          <w:kern w:val="0"/>
          <w:szCs w:val="32"/>
        </w:rPr>
        <w:t>份</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西文正文">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中文正文">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020FB">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729C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1D729C7">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C7D87"/>
    <w:multiLevelType w:val="multilevel"/>
    <w:tmpl w:val="E12C7D87"/>
    <w:lvl w:ilvl="0" w:tentative="0">
      <w:start w:val="1"/>
      <w:numFmt w:val="none"/>
      <w:suff w:val="nothing"/>
      <w:lvlText w:val=""/>
      <w:lvlJc w:val="center"/>
      <w:pPr>
        <w:tabs>
          <w:tab w:val="left" w:pos="0"/>
        </w:tabs>
        <w:ind w:left="0" w:firstLine="0"/>
      </w:pPr>
      <w:rPr>
        <w:rFonts w:hint="eastAsia" w:ascii="宋体" w:hAnsi="宋体" w:eastAsia="宋体" w:cs="宋体"/>
      </w:rPr>
    </w:lvl>
    <w:lvl w:ilvl="1" w:tentative="0">
      <w:start w:val="1"/>
      <w:numFmt w:val="chineseCounting"/>
      <w:suff w:val="nothing"/>
      <w:lvlText w:val="第%2章 "/>
      <w:lvlJc w:val="center"/>
      <w:pPr>
        <w:tabs>
          <w:tab w:val="left" w:pos="0"/>
        </w:tabs>
        <w:ind w:left="0" w:firstLine="0"/>
      </w:pPr>
      <w:rPr>
        <w:rFonts w:hint="eastAsia" w:ascii="宋体" w:hAnsi="宋体" w:eastAsia="宋体" w:cs="宋体"/>
        <w:sz w:val="32"/>
      </w:rPr>
    </w:lvl>
    <w:lvl w:ilvl="2" w:tentative="0">
      <w:start w:val="1"/>
      <w:numFmt w:val="chineseCounting"/>
      <w:suff w:val="nothing"/>
      <w:lvlText w:val="第%3条 "/>
      <w:lvlJc w:val="left"/>
      <w:pPr>
        <w:tabs>
          <w:tab w:val="left" w:pos="0"/>
        </w:tabs>
        <w:ind w:left="0" w:firstLine="0"/>
      </w:pPr>
      <w:rPr>
        <w:rFonts w:hint="eastAsia" w:ascii="宋体" w:hAnsi="宋体" w:eastAsia="仿宋_GB2312" w:cs="宋体"/>
        <w:b/>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29201722"/>
    <w:multiLevelType w:val="singleLevel"/>
    <w:tmpl w:val="2920172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5MTQ5OTgxOGVhMDhmNTg3ZWFiZTM0MmEwMGVkNDkifQ=="/>
  </w:docVars>
  <w:rsids>
    <w:rsidRoot w:val="00E47993"/>
    <w:rsid w:val="00002188"/>
    <w:rsid w:val="000114FF"/>
    <w:rsid w:val="0003072F"/>
    <w:rsid w:val="00056974"/>
    <w:rsid w:val="00060E85"/>
    <w:rsid w:val="00067CF9"/>
    <w:rsid w:val="00076F72"/>
    <w:rsid w:val="00093D54"/>
    <w:rsid w:val="000C044C"/>
    <w:rsid w:val="000D11F9"/>
    <w:rsid w:val="000D2780"/>
    <w:rsid w:val="000D352A"/>
    <w:rsid w:val="000D3D48"/>
    <w:rsid w:val="000D6AB5"/>
    <w:rsid w:val="000E5F14"/>
    <w:rsid w:val="0011677E"/>
    <w:rsid w:val="00127D20"/>
    <w:rsid w:val="0015405C"/>
    <w:rsid w:val="001638E9"/>
    <w:rsid w:val="0016654D"/>
    <w:rsid w:val="00173302"/>
    <w:rsid w:val="0018073B"/>
    <w:rsid w:val="001B60E5"/>
    <w:rsid w:val="001C22E5"/>
    <w:rsid w:val="001D124F"/>
    <w:rsid w:val="001E44DA"/>
    <w:rsid w:val="001E4D0B"/>
    <w:rsid w:val="001E7A95"/>
    <w:rsid w:val="002043FF"/>
    <w:rsid w:val="00210E34"/>
    <w:rsid w:val="00211C6C"/>
    <w:rsid w:val="002128FB"/>
    <w:rsid w:val="00224785"/>
    <w:rsid w:val="00245FCD"/>
    <w:rsid w:val="00253D7F"/>
    <w:rsid w:val="00255E87"/>
    <w:rsid w:val="00264DAC"/>
    <w:rsid w:val="00266691"/>
    <w:rsid w:val="002765D7"/>
    <w:rsid w:val="00295A01"/>
    <w:rsid w:val="002A41D0"/>
    <w:rsid w:val="002B109A"/>
    <w:rsid w:val="002B1557"/>
    <w:rsid w:val="002B43B5"/>
    <w:rsid w:val="002D6E82"/>
    <w:rsid w:val="002F6438"/>
    <w:rsid w:val="00304A6D"/>
    <w:rsid w:val="00323442"/>
    <w:rsid w:val="00332944"/>
    <w:rsid w:val="003545AD"/>
    <w:rsid w:val="00355C98"/>
    <w:rsid w:val="003606E3"/>
    <w:rsid w:val="00374EDC"/>
    <w:rsid w:val="00384BA5"/>
    <w:rsid w:val="003912CF"/>
    <w:rsid w:val="003A58ED"/>
    <w:rsid w:val="003A6E80"/>
    <w:rsid w:val="003B20B0"/>
    <w:rsid w:val="003B6FF1"/>
    <w:rsid w:val="003C70C6"/>
    <w:rsid w:val="003D4F02"/>
    <w:rsid w:val="003E18ED"/>
    <w:rsid w:val="003F3DD0"/>
    <w:rsid w:val="00405734"/>
    <w:rsid w:val="004345C2"/>
    <w:rsid w:val="004601AE"/>
    <w:rsid w:val="004625B3"/>
    <w:rsid w:val="00473C33"/>
    <w:rsid w:val="00475AAF"/>
    <w:rsid w:val="004774CA"/>
    <w:rsid w:val="00490010"/>
    <w:rsid w:val="00497FE9"/>
    <w:rsid w:val="004C1880"/>
    <w:rsid w:val="004D04AD"/>
    <w:rsid w:val="004D482A"/>
    <w:rsid w:val="004D5BFF"/>
    <w:rsid w:val="004D786C"/>
    <w:rsid w:val="004E0773"/>
    <w:rsid w:val="004E4524"/>
    <w:rsid w:val="004E6D90"/>
    <w:rsid w:val="005067CA"/>
    <w:rsid w:val="00511465"/>
    <w:rsid w:val="005259B5"/>
    <w:rsid w:val="00531072"/>
    <w:rsid w:val="00535F96"/>
    <w:rsid w:val="005503FC"/>
    <w:rsid w:val="0057215B"/>
    <w:rsid w:val="00596CE7"/>
    <w:rsid w:val="005A0EBA"/>
    <w:rsid w:val="005A6A9E"/>
    <w:rsid w:val="005B15DC"/>
    <w:rsid w:val="005C4A8E"/>
    <w:rsid w:val="005C71E8"/>
    <w:rsid w:val="005D31D8"/>
    <w:rsid w:val="005E157C"/>
    <w:rsid w:val="00602C12"/>
    <w:rsid w:val="006411C4"/>
    <w:rsid w:val="0064649A"/>
    <w:rsid w:val="00652C20"/>
    <w:rsid w:val="00654404"/>
    <w:rsid w:val="006602EF"/>
    <w:rsid w:val="006637E4"/>
    <w:rsid w:val="006A688E"/>
    <w:rsid w:val="006B2767"/>
    <w:rsid w:val="006B29B1"/>
    <w:rsid w:val="006C1A76"/>
    <w:rsid w:val="006C1B03"/>
    <w:rsid w:val="006F2F14"/>
    <w:rsid w:val="006F684D"/>
    <w:rsid w:val="00705146"/>
    <w:rsid w:val="00716F6F"/>
    <w:rsid w:val="007270A6"/>
    <w:rsid w:val="00731FCE"/>
    <w:rsid w:val="00734A31"/>
    <w:rsid w:val="0074167C"/>
    <w:rsid w:val="00743051"/>
    <w:rsid w:val="00750EA1"/>
    <w:rsid w:val="00755C16"/>
    <w:rsid w:val="00767256"/>
    <w:rsid w:val="00770995"/>
    <w:rsid w:val="007A617A"/>
    <w:rsid w:val="007A6637"/>
    <w:rsid w:val="007A7C62"/>
    <w:rsid w:val="007B18E7"/>
    <w:rsid w:val="007B44A2"/>
    <w:rsid w:val="007B63D8"/>
    <w:rsid w:val="007C2928"/>
    <w:rsid w:val="007D30E3"/>
    <w:rsid w:val="007E00B2"/>
    <w:rsid w:val="008057E2"/>
    <w:rsid w:val="0082658F"/>
    <w:rsid w:val="00830DB6"/>
    <w:rsid w:val="00841A89"/>
    <w:rsid w:val="00850DA4"/>
    <w:rsid w:val="00851043"/>
    <w:rsid w:val="00856C0E"/>
    <w:rsid w:val="00860485"/>
    <w:rsid w:val="00866DFB"/>
    <w:rsid w:val="008675FB"/>
    <w:rsid w:val="008A3811"/>
    <w:rsid w:val="008A676D"/>
    <w:rsid w:val="008C4738"/>
    <w:rsid w:val="008E20F8"/>
    <w:rsid w:val="00904598"/>
    <w:rsid w:val="00962726"/>
    <w:rsid w:val="0099104B"/>
    <w:rsid w:val="009936F7"/>
    <w:rsid w:val="00994B43"/>
    <w:rsid w:val="009A4544"/>
    <w:rsid w:val="009B6C5F"/>
    <w:rsid w:val="009D3697"/>
    <w:rsid w:val="009D76BE"/>
    <w:rsid w:val="009E5347"/>
    <w:rsid w:val="009E7533"/>
    <w:rsid w:val="009E7905"/>
    <w:rsid w:val="00A06A32"/>
    <w:rsid w:val="00A13ADA"/>
    <w:rsid w:val="00A15DC7"/>
    <w:rsid w:val="00A23742"/>
    <w:rsid w:val="00A3744C"/>
    <w:rsid w:val="00A52D6F"/>
    <w:rsid w:val="00A62E63"/>
    <w:rsid w:val="00A71A37"/>
    <w:rsid w:val="00AA7619"/>
    <w:rsid w:val="00AB3A19"/>
    <w:rsid w:val="00AB4646"/>
    <w:rsid w:val="00AB7E08"/>
    <w:rsid w:val="00AC1AC2"/>
    <w:rsid w:val="00AD2F96"/>
    <w:rsid w:val="00AE11BB"/>
    <w:rsid w:val="00AF4DAD"/>
    <w:rsid w:val="00B05091"/>
    <w:rsid w:val="00B11060"/>
    <w:rsid w:val="00B233D9"/>
    <w:rsid w:val="00B46335"/>
    <w:rsid w:val="00B51CC3"/>
    <w:rsid w:val="00B70EF9"/>
    <w:rsid w:val="00B80F7D"/>
    <w:rsid w:val="00B810FF"/>
    <w:rsid w:val="00B850AF"/>
    <w:rsid w:val="00B93770"/>
    <w:rsid w:val="00BA0880"/>
    <w:rsid w:val="00BC1099"/>
    <w:rsid w:val="00BD10FE"/>
    <w:rsid w:val="00BD29F1"/>
    <w:rsid w:val="00BE3F84"/>
    <w:rsid w:val="00BF0E8D"/>
    <w:rsid w:val="00C018FA"/>
    <w:rsid w:val="00C03E23"/>
    <w:rsid w:val="00C07B12"/>
    <w:rsid w:val="00C13879"/>
    <w:rsid w:val="00C258D0"/>
    <w:rsid w:val="00C2671F"/>
    <w:rsid w:val="00C31417"/>
    <w:rsid w:val="00C379DD"/>
    <w:rsid w:val="00C43128"/>
    <w:rsid w:val="00C61C52"/>
    <w:rsid w:val="00C630FE"/>
    <w:rsid w:val="00C642FD"/>
    <w:rsid w:val="00C87FE7"/>
    <w:rsid w:val="00CB4CC0"/>
    <w:rsid w:val="00CB5D01"/>
    <w:rsid w:val="00CD1FEB"/>
    <w:rsid w:val="00CD59A5"/>
    <w:rsid w:val="00CD787D"/>
    <w:rsid w:val="00CE5546"/>
    <w:rsid w:val="00CE7EC3"/>
    <w:rsid w:val="00D050B6"/>
    <w:rsid w:val="00D06142"/>
    <w:rsid w:val="00D07DA6"/>
    <w:rsid w:val="00D11AB8"/>
    <w:rsid w:val="00D46458"/>
    <w:rsid w:val="00D678AD"/>
    <w:rsid w:val="00D7732A"/>
    <w:rsid w:val="00D921F0"/>
    <w:rsid w:val="00D92738"/>
    <w:rsid w:val="00DB1D3F"/>
    <w:rsid w:val="00DB5BE7"/>
    <w:rsid w:val="00DC1FA0"/>
    <w:rsid w:val="00DC7181"/>
    <w:rsid w:val="00DD4BD6"/>
    <w:rsid w:val="00DE6CC2"/>
    <w:rsid w:val="00DF0258"/>
    <w:rsid w:val="00DF1101"/>
    <w:rsid w:val="00E200FE"/>
    <w:rsid w:val="00E22DB4"/>
    <w:rsid w:val="00E244D7"/>
    <w:rsid w:val="00E30495"/>
    <w:rsid w:val="00E32291"/>
    <w:rsid w:val="00E357E3"/>
    <w:rsid w:val="00E4453D"/>
    <w:rsid w:val="00E47993"/>
    <w:rsid w:val="00E61D13"/>
    <w:rsid w:val="00E62B0B"/>
    <w:rsid w:val="00E74A66"/>
    <w:rsid w:val="00E837B9"/>
    <w:rsid w:val="00E94EF3"/>
    <w:rsid w:val="00EA7E73"/>
    <w:rsid w:val="00EB210E"/>
    <w:rsid w:val="00EB35DE"/>
    <w:rsid w:val="00EB6EE3"/>
    <w:rsid w:val="00EB702F"/>
    <w:rsid w:val="00EC01C7"/>
    <w:rsid w:val="00EC6628"/>
    <w:rsid w:val="00EC6DE7"/>
    <w:rsid w:val="00EF3882"/>
    <w:rsid w:val="00EF451F"/>
    <w:rsid w:val="00F04ACC"/>
    <w:rsid w:val="00F0740D"/>
    <w:rsid w:val="00F304DD"/>
    <w:rsid w:val="00F644E8"/>
    <w:rsid w:val="00F732E5"/>
    <w:rsid w:val="00F97333"/>
    <w:rsid w:val="00FB66D7"/>
    <w:rsid w:val="00FD4849"/>
    <w:rsid w:val="00FF0BA5"/>
    <w:rsid w:val="00FF2694"/>
    <w:rsid w:val="00FF4518"/>
    <w:rsid w:val="00FF4DF2"/>
    <w:rsid w:val="00FF609A"/>
    <w:rsid w:val="00FF6BCF"/>
    <w:rsid w:val="00FF7C63"/>
    <w:rsid w:val="04E44207"/>
    <w:rsid w:val="088E6450"/>
    <w:rsid w:val="0AE4788E"/>
    <w:rsid w:val="1CD54BF6"/>
    <w:rsid w:val="1FC55C88"/>
    <w:rsid w:val="308C2529"/>
    <w:rsid w:val="430178B1"/>
    <w:rsid w:val="49872FEE"/>
    <w:rsid w:val="62543D45"/>
    <w:rsid w:val="72C71B7F"/>
    <w:rsid w:val="7B3F7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paragraph" w:styleId="2">
    <w:name w:val="heading 1"/>
    <w:basedOn w:val="1"/>
    <w:next w:val="1"/>
    <w:autoRedefine/>
    <w:qFormat/>
    <w:uiPriority w:val="0"/>
    <w:pPr>
      <w:keepNext/>
      <w:keepLines/>
      <w:spacing w:before="120" w:after="120"/>
      <w:outlineLvl w:val="0"/>
    </w:pPr>
    <w:rPr>
      <w:rFonts w:ascii="Times New Roman" w:hAnsi="Times New Roman" w:eastAsia="黑体"/>
      <w:kern w:val="36"/>
      <w:sz w:val="36"/>
      <w:szCs w:val="20"/>
    </w:rPr>
  </w:style>
  <w:style w:type="paragraph" w:styleId="3">
    <w:name w:val="heading 2"/>
    <w:basedOn w:val="1"/>
    <w:next w:val="1"/>
    <w:autoRedefine/>
    <w:qFormat/>
    <w:uiPriority w:val="0"/>
    <w:pPr>
      <w:adjustRightInd w:val="0"/>
      <w:spacing w:before="60" w:after="60"/>
      <w:outlineLvl w:val="1"/>
    </w:pPr>
    <w:rPr>
      <w:rFonts w:ascii="Arial" w:hAnsi="Arial" w:eastAsia="黑体"/>
      <w:szCs w:val="20"/>
    </w:rPr>
  </w:style>
  <w:style w:type="paragraph" w:styleId="4">
    <w:name w:val="heading 3"/>
    <w:basedOn w:val="1"/>
    <w:next w:val="1"/>
    <w:autoRedefine/>
    <w:qFormat/>
    <w:uiPriority w:val="0"/>
    <w:pPr>
      <w:adjustRightInd w:val="0"/>
      <w:spacing w:before="60" w:after="60"/>
      <w:outlineLvl w:val="2"/>
    </w:pPr>
    <w:rPr>
      <w:rFonts w:ascii="Times New Roman" w:hAnsi="Times New Roman"/>
      <w:b/>
      <w:szCs w:val="20"/>
    </w:rPr>
  </w:style>
  <w:style w:type="character" w:default="1" w:styleId="13">
    <w:name w:val="Default Paragraph Font"/>
    <w:autoRedefine/>
    <w:semiHidden/>
    <w:uiPriority w:val="0"/>
  </w:style>
  <w:style w:type="table" w:default="1" w:styleId="12">
    <w:name w:val="Normal Table"/>
    <w:autoRedefine/>
    <w:semiHidden/>
    <w:uiPriority w:val="0"/>
    <w:tblPr>
      <w:tblCellMar>
        <w:top w:w="0" w:type="dxa"/>
        <w:left w:w="108" w:type="dxa"/>
        <w:bottom w:w="0" w:type="dxa"/>
        <w:right w:w="108" w:type="dxa"/>
      </w:tblCellMar>
    </w:tblPr>
  </w:style>
  <w:style w:type="paragraph" w:styleId="5">
    <w:name w:val="Normal Indent"/>
    <w:basedOn w:val="1"/>
    <w:autoRedefine/>
    <w:uiPriority w:val="0"/>
    <w:pPr>
      <w:ind w:firstLine="420"/>
    </w:pPr>
    <w:rPr>
      <w:rFonts w:ascii="Times New Roman" w:hAnsi="Times New Roman"/>
      <w:szCs w:val="20"/>
    </w:rPr>
  </w:style>
  <w:style w:type="paragraph" w:styleId="6">
    <w:name w:val="Document Map"/>
    <w:basedOn w:val="1"/>
    <w:autoRedefine/>
    <w:semiHidden/>
    <w:qFormat/>
    <w:uiPriority w:val="0"/>
    <w:pPr>
      <w:shd w:val="clear" w:color="auto" w:fill="000080"/>
    </w:pPr>
    <w:rPr>
      <w:rFonts w:ascii="Times New Roman" w:hAnsi="Times New Roman"/>
      <w:szCs w:val="20"/>
    </w:rPr>
  </w:style>
  <w:style w:type="paragraph" w:styleId="7">
    <w:name w:val="Body Text"/>
    <w:basedOn w:val="1"/>
    <w:autoRedefine/>
    <w:qFormat/>
    <w:uiPriority w:val="0"/>
    <w:pPr>
      <w:jc w:val="center"/>
    </w:pPr>
    <w:rPr>
      <w:rFonts w:ascii="方正舒体" w:hAnsi="Times New Roman"/>
      <w:b/>
      <w:color w:val="FF0000"/>
      <w:spacing w:val="80"/>
      <w:sz w:val="96"/>
      <w:szCs w:val="20"/>
    </w:rPr>
  </w:style>
  <w:style w:type="paragraph" w:styleId="8">
    <w:name w:val="Balloon Text"/>
    <w:basedOn w:val="1"/>
    <w:autoRedefine/>
    <w:semiHidden/>
    <w:qFormat/>
    <w:uiPriority w:val="0"/>
    <w:rPr>
      <w:rFonts w:ascii="Times New Roman" w:hAnsi="Times New Roman"/>
      <w:sz w:val="18"/>
      <w:szCs w:val="18"/>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tabs>
        <w:tab w:val="center" w:pos="4153"/>
        <w:tab w:val="right" w:pos="8306"/>
      </w:tabs>
      <w:snapToGrid w:val="0"/>
      <w:jc w:val="center"/>
    </w:pPr>
    <w:rPr>
      <w:rFonts w:ascii="Times New Roman" w:hAnsi="Times New Roman"/>
      <w:sz w:val="18"/>
      <w:szCs w:val="20"/>
    </w:rPr>
  </w:style>
  <w:style w:type="paragraph" w:styleId="11">
    <w:name w:val="Title"/>
    <w:basedOn w:val="1"/>
    <w:next w:val="1"/>
    <w:link w:val="15"/>
    <w:autoRedefine/>
    <w:qFormat/>
    <w:uiPriority w:val="0"/>
    <w:pPr>
      <w:spacing w:before="240" w:after="60"/>
      <w:jc w:val="center"/>
      <w:outlineLvl w:val="0"/>
    </w:pPr>
    <w:rPr>
      <w:rFonts w:ascii="Cambria" w:hAnsi="Cambria" w:eastAsia="宋体"/>
      <w:b/>
      <w:bCs/>
      <w:szCs w:val="32"/>
    </w:rPr>
  </w:style>
  <w:style w:type="character" w:styleId="14">
    <w:name w:val="page number"/>
    <w:basedOn w:val="13"/>
    <w:autoRedefine/>
    <w:qFormat/>
    <w:uiPriority w:val="0"/>
    <w:rPr>
      <w:rFonts w:ascii="Times New Roman" w:hAnsi="Times New Roman" w:eastAsia="宋体" w:cs="Times New Roman"/>
    </w:rPr>
  </w:style>
  <w:style w:type="character" w:customStyle="1" w:styleId="15">
    <w:name w:val="标题 Char"/>
    <w:link w:val="11"/>
    <w:autoRedefine/>
    <w:uiPriority w:val="0"/>
    <w:rPr>
      <w:rFonts w:ascii="Cambria" w:hAnsi="Cambria" w:eastAsia="宋体" w:cs="Times New Roman"/>
      <w:b/>
      <w:bCs/>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21335;&#24072;&#27169;&#26495;\dcwjmbwyh.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5183</Words>
  <Characters>5232</Characters>
  <Lines>1</Lines>
  <Paragraphs>1</Paragraphs>
  <TotalTime>8</TotalTime>
  <ScaleCrop>false</ScaleCrop>
  <LinksUpToDate>false</LinksUpToDate>
  <CharactersWithSpaces>5322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2021-12-14T09:16:00Z</dcterms:created>
  <dc:creator>浮城沉浮</dc:creator>
  <cp:lastModifiedBy>微信用户</cp:lastModifiedBy>
  <dcterms:modified xsi:type="dcterms:W3CDTF">2025-12-12T03:23:10Z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7E7289FD3C0E4D378B6313259D9056E8_13</vt:lpwstr>
  </property>
</Properties>
</file>