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2159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0BA6CB7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ACCF11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安徽省社会科学界第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二十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 w14:paraId="4334C85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学术年会选题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范围</w:t>
      </w:r>
    </w:p>
    <w:p w14:paraId="4DC45F2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p w14:paraId="0F117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学术年会大会拟于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月在合肥举行，由省社科联主办；设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个专场，分别由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合肥师范学院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铜陵学院、</w:t>
      </w:r>
      <w:r>
        <w:rPr>
          <w:rFonts w:hint="eastAsia" w:ascii="仿宋" w:hAnsi="仿宋" w:eastAsia="仿宋" w:cs="仿宋"/>
          <w:sz w:val="32"/>
          <w:szCs w:val="32"/>
        </w:rPr>
        <w:t>安徽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中医药</w:t>
      </w:r>
      <w:r>
        <w:rPr>
          <w:rFonts w:hint="eastAsia" w:ascii="仿宋" w:hAnsi="仿宋" w:eastAsia="仿宋" w:cs="仿宋"/>
          <w:sz w:val="32"/>
          <w:szCs w:val="32"/>
        </w:rPr>
        <w:t>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和中国科学技术大学</w:t>
      </w:r>
      <w:r>
        <w:rPr>
          <w:rFonts w:hint="eastAsia" w:ascii="仿宋" w:hAnsi="仿宋" w:eastAsia="仿宋" w:cs="仿宋"/>
          <w:sz w:val="32"/>
          <w:szCs w:val="32"/>
        </w:rPr>
        <w:t>承办，拟于</w:t>
      </w: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月在承办单位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所在地</w:t>
      </w:r>
      <w:r>
        <w:rPr>
          <w:rFonts w:hint="eastAsia" w:ascii="仿宋" w:hAnsi="仿宋" w:eastAsia="仿宋" w:cs="仿宋"/>
          <w:sz w:val="32"/>
          <w:szCs w:val="32"/>
        </w:rPr>
        <w:t>举办。年会专场选题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范围</w:t>
      </w:r>
      <w:r>
        <w:rPr>
          <w:rFonts w:hint="eastAsia" w:ascii="仿宋" w:hAnsi="仿宋" w:eastAsia="仿宋" w:cs="仿宋"/>
          <w:sz w:val="32"/>
          <w:szCs w:val="32"/>
        </w:rPr>
        <w:t>供参考。</w:t>
      </w:r>
    </w:p>
    <w:p w14:paraId="2305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w w:val="1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eastAsia="zh-CN"/>
        </w:rPr>
        <w:t>第</w:t>
      </w:r>
      <w:r>
        <w:rPr>
          <w:rFonts w:hint="eastAsia" w:ascii="楷体" w:hAnsi="楷体" w:eastAsia="楷体" w:cs="楷体"/>
          <w:w w:val="100"/>
          <w:sz w:val="32"/>
          <w:szCs w:val="32"/>
        </w:rPr>
        <w:t>一</w:t>
      </w:r>
      <w:r>
        <w:rPr>
          <w:rFonts w:hint="eastAsia" w:ascii="楷体" w:hAnsi="楷体" w:eastAsia="楷体" w:cs="楷体"/>
          <w:b w:val="0"/>
          <w:bCs w:val="0"/>
          <w:w w:val="100"/>
          <w:sz w:val="32"/>
          <w:szCs w:val="32"/>
        </w:rPr>
        <w:t>专场</w:t>
      </w:r>
      <w:r>
        <w:rPr>
          <w:rFonts w:hint="eastAsia" w:ascii="楷体" w:hAnsi="楷体" w:eastAsia="楷体" w:cs="楷体"/>
          <w:b w:val="0"/>
          <w:bCs w:val="0"/>
          <w:w w:val="100"/>
          <w:sz w:val="32"/>
          <w:szCs w:val="32"/>
          <w:lang w:eastAsia="zh-CN"/>
        </w:rPr>
        <w:t>：坚持</w:t>
      </w:r>
      <w:r>
        <w:rPr>
          <w:rFonts w:hint="eastAsia" w:ascii="楷体" w:hAnsi="楷体" w:eastAsia="楷体" w:cs="楷体"/>
          <w:b w:val="0"/>
          <w:bCs w:val="0"/>
          <w:w w:val="100"/>
          <w:sz w:val="32"/>
          <w:szCs w:val="32"/>
          <w:lang w:val="en-US" w:eastAsia="zh-CN"/>
        </w:rPr>
        <w:t>“两个结合”，</w:t>
      </w:r>
      <w:r>
        <w:rPr>
          <w:rFonts w:hint="eastAsia" w:ascii="楷体" w:hAnsi="楷体" w:eastAsia="楷体" w:cs="楷体"/>
          <w:b w:val="0"/>
          <w:bCs w:val="0"/>
          <w:w w:val="100"/>
          <w:sz w:val="32"/>
          <w:szCs w:val="32"/>
          <w:lang w:eastAsia="zh-CN"/>
        </w:rPr>
        <w:t>构建中国特色、安徽特点的哲学社会科学</w:t>
      </w:r>
    </w:p>
    <w:p w14:paraId="0180E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方正黑体_GBK"/>
          <w:bCs/>
          <w:sz w:val="32"/>
          <w:szCs w:val="32"/>
        </w:rPr>
      </w:pPr>
      <w:r>
        <w:rPr>
          <w:rFonts w:hint="eastAsia" w:ascii="仿宋" w:hAnsi="仿宋" w:eastAsia="仿宋" w:cs="方正黑体_GBK"/>
          <w:bCs/>
          <w:sz w:val="32"/>
          <w:szCs w:val="32"/>
        </w:rPr>
        <w:t>（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马克思主义理论</w:t>
      </w:r>
      <w:r>
        <w:rPr>
          <w:rFonts w:hint="eastAsia" w:ascii="仿宋" w:hAnsi="仿宋" w:eastAsia="仿宋" w:cs="方正黑体_GBK"/>
          <w:bCs/>
          <w:sz w:val="32"/>
          <w:szCs w:val="32"/>
        </w:rPr>
        <w:t>政治法律哲学社会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党史</w:t>
      </w:r>
      <w:r>
        <w:rPr>
          <w:rFonts w:hint="eastAsia" w:ascii="仿宋" w:hAnsi="仿宋" w:eastAsia="仿宋" w:cs="方正黑体_GBK"/>
          <w:bCs/>
          <w:sz w:val="32"/>
          <w:szCs w:val="32"/>
        </w:rPr>
        <w:t>党建等学科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合肥师范学院</w:t>
      </w:r>
      <w:r>
        <w:rPr>
          <w:rFonts w:hint="eastAsia" w:ascii="仿宋" w:hAnsi="仿宋" w:eastAsia="仿宋" w:cs="方正黑体_GBK"/>
          <w:bCs/>
          <w:sz w:val="32"/>
          <w:szCs w:val="32"/>
        </w:rPr>
        <w:t>承办）</w:t>
      </w:r>
    </w:p>
    <w:p w14:paraId="28039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黑体_GBK"/>
          <w:bCs/>
          <w:sz w:val="32"/>
          <w:szCs w:val="32"/>
        </w:rPr>
        <w:t>加强对马克思主义基本理论尤其是中国化时代化马克思主义的研究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阐释</w:t>
      </w:r>
      <w:r>
        <w:rPr>
          <w:rFonts w:hint="eastAsia" w:ascii="仿宋" w:hAnsi="仿宋" w:eastAsia="仿宋" w:cs="方正黑体_GBK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加强对“两个结合”的研究和把握，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贯彻落实构建中国哲学社会科学自主知识体系行动纲要，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主动参与新时代马克思主义理论研究和建设工程，紧紧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围绕习近平新时代中国特色社会主义思想的内在逻辑、科学体系和实践价值，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聚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“毫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不放松坚持党的领导、加强党的建设”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“‘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十五五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时期安徽高质量发展战略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推进深层次改革和高水平开放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”“探索推广全过程人民民主基层实践”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“安徽推动首创性、差异化改革实践研究”“安徽着力构建城乡融合发展新格局”“统筹高质量发展和高水平安全”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等重大课题，以实施哲学社会科学创新工程为引领，打造社科领域改革的“安徽样板”，加快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构建中国特色、安徽特点的哲学社会科学，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在不断提升服务能力中彰显价值追求。</w:t>
      </w:r>
    </w:p>
    <w:p w14:paraId="5F053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阚逸群；邮箱：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2025xsnhzw@hfnu.edu.cn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；电话：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13721110166。                            </w:t>
      </w:r>
    </w:p>
    <w:p w14:paraId="2D662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0677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eastAsia="zh-CN"/>
        </w:rPr>
        <w:t>第二专场：</w:t>
      </w: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>聚力“两新”融合，因地制宜发展新质生产力</w:t>
      </w:r>
    </w:p>
    <w:p w14:paraId="3A1D0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方正黑体_GBK"/>
          <w:bCs/>
          <w:sz w:val="32"/>
          <w:szCs w:val="32"/>
        </w:rPr>
      </w:pPr>
      <w:r>
        <w:rPr>
          <w:rFonts w:hint="eastAsia" w:ascii="仿宋" w:hAnsi="仿宋" w:eastAsia="仿宋" w:cs="方正黑体_GBK"/>
          <w:bCs/>
          <w:sz w:val="32"/>
          <w:szCs w:val="32"/>
        </w:rPr>
        <w:t>（经济管理生态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环境</w:t>
      </w:r>
      <w:r>
        <w:rPr>
          <w:rFonts w:hint="eastAsia" w:ascii="仿宋" w:hAnsi="仿宋" w:eastAsia="仿宋" w:cs="方正黑体_GBK"/>
          <w:bCs/>
          <w:sz w:val="32"/>
          <w:szCs w:val="32"/>
        </w:rPr>
        <w:t xml:space="preserve">等学科  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铜陵学院</w:t>
      </w:r>
      <w:r>
        <w:rPr>
          <w:rFonts w:hint="eastAsia" w:ascii="仿宋" w:hAnsi="仿宋" w:eastAsia="仿宋" w:cs="方正黑体_GBK"/>
          <w:bCs/>
          <w:sz w:val="32"/>
          <w:szCs w:val="32"/>
        </w:rPr>
        <w:t>承办）</w:t>
      </w:r>
    </w:p>
    <w:p w14:paraId="56E46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深入学习贯彻习近平经济思想、习近平生态文明思想，</w:t>
      </w:r>
      <w:r>
        <w:rPr>
          <w:rFonts w:hint="eastAsia" w:ascii="仿宋" w:hAnsi="仿宋" w:eastAsia="仿宋" w:cs="方正黑体_GBK"/>
          <w:bCs/>
          <w:sz w:val="32"/>
          <w:szCs w:val="32"/>
        </w:rPr>
        <w:t>紧紧围绕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“中国式现代化”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“新质生产力”“人文经济学”等重大概念、原创性思想观点、原理性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shd w:val="clear" w:color="auto" w:fill="auto"/>
          <w:lang w:val="en-US" w:eastAsia="zh-CN"/>
        </w:rPr>
        <w:t>理论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成果开展学理性研究，突出科技创新和产业创新深度融合，聚焦“中国式现代化的安徽实践”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“发挥多重国家发展战略叠加优势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”“加快打造‘三地一区’”“安徽‘三个往前赶’”“人工智能”“坚定不移下好创新先手棋”“推动城市高质量发展”“加快建设绿色江淮美好家园”等重大课题，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立足全面建设美好安徽的生动实践，坚持以重大问题、重大战略、重大决策为研究方向，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从省域视角、用鲜活案例阐释党的创新理论的真理力量、实践伟力，力争为安徽高质量发展、跨越式发展量身打造一批实用之策和可行之方。</w:t>
      </w:r>
    </w:p>
    <w:p w14:paraId="477B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郝梅梅；邮箱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350060497@qq.com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；电话：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13395622522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 w14:paraId="7608F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3B92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93CC0C2">
      <w:pPr>
        <w:pStyle w:val="11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0991312">
      <w:pPr>
        <w:pStyle w:val="11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478E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w w:val="1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eastAsia="zh-CN"/>
        </w:rPr>
        <w:t>第三专场：推进文旅融合</w:t>
      </w: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>，赋能文化“三业”高质量发展</w:t>
      </w:r>
    </w:p>
    <w:p w14:paraId="60BF91F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（历史文化文学艺术等学科  安徽中医药大学承办）</w:t>
      </w:r>
    </w:p>
    <w:p w14:paraId="77FD8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深化习近平文化思想的安徽实践研究，</w:t>
      </w:r>
      <w:r>
        <w:rPr>
          <w:rFonts w:hint="eastAsia" w:ascii="仿宋" w:hAnsi="仿宋" w:eastAsia="仿宋" w:cs="方正黑体_GBK"/>
          <w:bCs/>
          <w:sz w:val="32"/>
          <w:szCs w:val="32"/>
        </w:rPr>
        <w:t>紧紧围绕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谋划“十五五”时期安徽文化高质量发展</w:t>
      </w:r>
      <w:r>
        <w:rPr>
          <w:rFonts w:hint="eastAsia" w:ascii="仿宋" w:hAnsi="仿宋" w:eastAsia="仿宋" w:cs="方正黑体_GBK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加强徽州文化、长江文化、淮河文化、大运河文化及黄梅戏文化等区域文化研究，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聚焦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“加快建设繁荣兴盛的文化强省”“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推进文化领域深层次改革路径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”“构建现代文化产业体系和市场体系”“推动文化与旅游、科技融合发展”“推动安徽文旅产业成为支柱性产业”“安徽全域旅游”“提升安徽文化影响力软实力”“</w:t>
      </w:r>
      <w:r>
        <w:rPr>
          <w:rFonts w:hint="eastAsia" w:ascii="仿宋" w:hAnsi="仿宋" w:eastAsia="仿宋" w:cs="方正仿宋_GBK"/>
          <w:sz w:val="32"/>
          <w:szCs w:val="32"/>
          <w:lang w:eastAsia="zh-CN"/>
        </w:rPr>
        <w:t>打响安徽文化品牌、推动安徽文化走向世界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”等重大课题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，紧密结合</w:t>
      </w:r>
      <w:r>
        <w:rPr>
          <w:rFonts w:hint="eastAsia" w:ascii="仿宋" w:hAnsi="仿宋" w:eastAsia="仿宋" w:cs="方正黑体_GBK"/>
          <w:bCs/>
          <w:sz w:val="32"/>
          <w:szCs w:val="32"/>
        </w:rPr>
        <w:t>安徽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文化改革发展</w:t>
      </w:r>
      <w:r>
        <w:rPr>
          <w:rFonts w:hint="eastAsia" w:ascii="仿宋" w:hAnsi="仿宋" w:eastAsia="仿宋" w:cs="方正黑体_GBK"/>
          <w:bCs/>
          <w:sz w:val="32"/>
          <w:szCs w:val="32"/>
        </w:rPr>
        <w:t>实际，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推出高质量研究成果，赋能安徽文化事业、文化产业、文旅行业高质量发展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。</w:t>
      </w:r>
    </w:p>
    <w:p w14:paraId="690C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</w:pPr>
      <w:r>
        <w:rPr>
          <w:rFonts w:hint="eastAsia" w:ascii="仿宋" w:hAnsi="仿宋" w:eastAsia="仿宋" w:cs="方正仿宋_GBK"/>
          <w:sz w:val="32"/>
          <w:szCs w:val="32"/>
        </w:rPr>
        <w:t>联系人：</w:t>
      </w:r>
      <w:r>
        <w:rPr>
          <w:rFonts w:hint="eastAsia" w:ascii="仿宋" w:hAnsi="仿宋" w:eastAsia="仿宋" w:cs="方正仿宋_GBK"/>
          <w:sz w:val="32"/>
          <w:szCs w:val="32"/>
          <w:lang w:eastAsia="zh-CN"/>
        </w:rPr>
        <w:t>杨硕鹏</w:t>
      </w:r>
      <w:r>
        <w:rPr>
          <w:rFonts w:hint="eastAsia" w:ascii="仿宋" w:hAnsi="仿宋" w:eastAsia="仿宋" w:cs="方正仿宋_GBK"/>
          <w:sz w:val="32"/>
          <w:szCs w:val="32"/>
        </w:rPr>
        <w:t>；邮箱：</w:t>
      </w:r>
      <w:r>
        <w:rPr>
          <w:rFonts w:hint="eastAsia" w:ascii="仿宋" w:hAnsi="仿宋" w:eastAsia="仿宋" w:cs="方正仿宋_GBK"/>
          <w:sz w:val="32"/>
          <w:szCs w:val="32"/>
        </w:rPr>
        <w:fldChar w:fldCharType="begin"/>
      </w:r>
      <w:r>
        <w:rPr>
          <w:rFonts w:hint="eastAsia" w:ascii="仿宋" w:hAnsi="仿宋" w:eastAsia="仿宋" w:cs="方正仿宋_GBK"/>
          <w:sz w:val="32"/>
          <w:szCs w:val="32"/>
        </w:rPr>
        <w:instrText xml:space="preserve"> HYPERLINK "mailto:ackycxsjl@163.com。" </w:instrText>
      </w:r>
      <w:r>
        <w:rPr>
          <w:rFonts w:hint="eastAsia" w:ascii="仿宋" w:hAnsi="仿宋" w:eastAsia="仿宋" w:cs="方正仿宋_GBK"/>
          <w:sz w:val="32"/>
          <w:szCs w:val="32"/>
        </w:rPr>
        <w:fldChar w:fldCharType="separate"/>
      </w:r>
      <w:r>
        <w:rPr>
          <w:rFonts w:hint="default" w:ascii="仿宋" w:hAnsi="仿宋" w:eastAsia="仿宋" w:cs="方正仿宋_GBK"/>
          <w:sz w:val="32"/>
          <w:szCs w:val="32"/>
          <w:lang w:val="en"/>
        </w:rPr>
        <w:t>yangshuopeng</w:t>
      </w:r>
      <w:r>
        <w:rPr>
          <w:rFonts w:hint="eastAsia" w:ascii="仿宋" w:hAnsi="仿宋" w:eastAsia="仿宋" w:cs="方正仿宋_GBK"/>
          <w:sz w:val="32"/>
          <w:szCs w:val="32"/>
        </w:rPr>
        <w:t>@</w:t>
      </w:r>
      <w:r>
        <w:rPr>
          <w:rFonts w:hint="default" w:ascii="仿宋" w:hAnsi="仿宋" w:eastAsia="仿宋" w:cs="方正仿宋_GBK"/>
          <w:sz w:val="32"/>
          <w:szCs w:val="32"/>
          <w:lang w:val="en"/>
        </w:rPr>
        <w:t>ahtcm.edu.cn</w:t>
      </w:r>
      <w:r>
        <w:rPr>
          <w:rFonts w:hint="eastAsia" w:ascii="仿宋" w:hAnsi="仿宋" w:eastAsia="仿宋" w:cs="方正仿宋_GBK"/>
          <w:sz w:val="32"/>
          <w:szCs w:val="32"/>
        </w:rPr>
        <w:t>；</w:t>
      </w:r>
      <w:r>
        <w:rPr>
          <w:rFonts w:hint="eastAsia" w:ascii="仿宋" w:hAnsi="仿宋" w:eastAsia="仿宋" w:cs="方正仿宋_GBK"/>
          <w:sz w:val="32"/>
          <w:szCs w:val="32"/>
        </w:rPr>
        <w:fldChar w:fldCharType="end"/>
      </w:r>
      <w:r>
        <w:rPr>
          <w:rFonts w:hint="eastAsia" w:ascii="仿宋" w:hAnsi="仿宋" w:eastAsia="仿宋" w:cs="方正仿宋_GBK"/>
          <w:sz w:val="32"/>
          <w:szCs w:val="32"/>
        </w:rPr>
        <w:t>电话：</w:t>
      </w:r>
      <w:r>
        <w:rPr>
          <w:rFonts w:hint="default" w:ascii="仿宋" w:hAnsi="仿宋" w:eastAsia="仿宋" w:cs="方正仿宋_GBK"/>
          <w:sz w:val="32"/>
          <w:szCs w:val="32"/>
          <w:lang w:val="en"/>
        </w:rPr>
        <w:t>15755188307</w:t>
      </w:r>
      <w:r>
        <w:rPr>
          <w:rFonts w:hint="eastAsia" w:ascii="仿宋" w:hAnsi="仿宋" w:eastAsia="仿宋" w:cs="方正仿宋_GBK"/>
          <w:sz w:val="32"/>
          <w:szCs w:val="32"/>
        </w:rPr>
        <w:t xml:space="preserve">。 </w:t>
      </w:r>
    </w:p>
    <w:p w14:paraId="2CFD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6E8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w w:val="1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eastAsia="zh-CN"/>
        </w:rPr>
        <w:t>青年专场：</w:t>
      </w: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>（全学科  中国科学技术大学 省社科界青年学者协会承办）</w:t>
      </w:r>
    </w:p>
    <w:p w14:paraId="4E453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征文面向40周岁以下（截止2025年12月31日）青年学者，成果仅参与青年奖项评审。</w:t>
      </w:r>
    </w:p>
    <w:p w14:paraId="13D71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" w:eastAsia="zh-CN"/>
        </w:rPr>
        <w:t>王晨阳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；邮箱：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instrText xml:space="preserve"> HYPERLINK "mailto:ackycxsjl@163.com。" </w:instrTex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color w:val="000000"/>
          <w:sz w:val="32"/>
          <w:szCs w:val="32"/>
          <w:lang w:val="en" w:eastAsia="zh-CN"/>
        </w:rPr>
        <w:t>ahskqn2025@126.com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电话：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" w:eastAsia="zh-CN"/>
        </w:rPr>
        <w:t>15236166642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。 </w:t>
      </w:r>
    </w:p>
    <w:p w14:paraId="4C87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02D11C64">
      <w:pPr>
        <w:pStyle w:val="11"/>
        <w:rPr>
          <w:rFonts w:hint="eastAsia" w:ascii="黑体" w:hAnsi="黑体" w:eastAsia="黑体" w:cs="黑体"/>
          <w:sz w:val="32"/>
          <w:szCs w:val="32"/>
        </w:rPr>
      </w:pPr>
    </w:p>
    <w:p w14:paraId="32A4A211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3A8CF472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2761A5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安徽省社会科学界第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二十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届学术年会征文申报表</w:t>
      </w:r>
    </w:p>
    <w:p w14:paraId="5A6C9C91">
      <w:pPr>
        <w:spacing w:line="560" w:lineRule="exact"/>
        <w:jc w:val="center"/>
        <w:rPr>
          <w:rFonts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（第一专场、第二专场、第三专场）</w:t>
      </w:r>
    </w:p>
    <w:tbl>
      <w:tblPr>
        <w:tblStyle w:val="6"/>
        <w:tblW w:w="9122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6"/>
        <w:gridCol w:w="1419"/>
        <w:gridCol w:w="1875"/>
        <w:gridCol w:w="1275"/>
        <w:gridCol w:w="1577"/>
      </w:tblGrid>
      <w:tr w14:paraId="7173F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CD55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22F8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D066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B0B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485C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文化程度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638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6E07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1AF0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F443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C28F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专业技术</w:t>
            </w:r>
          </w:p>
          <w:p w14:paraId="427B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5E2E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52EA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CA7C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申报专场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A858">
            <w:pPr>
              <w:spacing w:line="56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3A1C2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175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成果名称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730D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0001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636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通讯地址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291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58F8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2EF9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邮政编码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C82D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办公电话</w:t>
            </w:r>
          </w:p>
          <w:p w14:paraId="14E0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移动手机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CE2D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519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82DD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CFAD5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EAFE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作者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3868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0309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198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务</w:t>
            </w:r>
          </w:p>
          <w:p w14:paraId="583A080B">
            <w:pPr>
              <w:spacing w:line="560" w:lineRule="exact"/>
              <w:jc w:val="center"/>
              <w:rPr>
                <w:rFonts w:cs="Times New Roman"/>
                <w:w w:val="90"/>
                <w:sz w:val="24"/>
                <w:szCs w:val="24"/>
              </w:rPr>
            </w:pPr>
            <w:r>
              <w:rPr>
                <w:rFonts w:hint="eastAsia" w:cs="宋体"/>
                <w:w w:val="90"/>
                <w:sz w:val="24"/>
                <w:szCs w:val="24"/>
              </w:rPr>
              <w:t>（专业技术职</w:t>
            </w:r>
            <w:r>
              <w:rPr>
                <w:rFonts w:hint="eastAsia" w:cs="宋体"/>
                <w:w w:val="90"/>
                <w:sz w:val="24"/>
                <w:szCs w:val="24"/>
                <w:lang w:eastAsia="zh-CN"/>
              </w:rPr>
              <w:t>称</w:t>
            </w:r>
            <w:r>
              <w:rPr>
                <w:rFonts w:hint="eastAsia" w:cs="宋体"/>
                <w:w w:val="90"/>
                <w:sz w:val="24"/>
                <w:szCs w:val="24"/>
              </w:rPr>
              <w:t>）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850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位</w:t>
            </w:r>
          </w:p>
        </w:tc>
      </w:tr>
      <w:tr w14:paraId="51BBA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57D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第一作者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D08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6FF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1E4F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C69B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77B2E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3C55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第二作者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E6C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3FE8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5C2E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798B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387C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5CF9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第三作者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E930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516F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269F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0EF1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1649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B910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E8DB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D42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C52C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86FE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14:paraId="65C56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39D69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91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27F96A">
            <w:pPr>
              <w:spacing w:line="560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单位意见</w:t>
            </w:r>
          </w:p>
        </w:tc>
      </w:tr>
      <w:tr w14:paraId="3C7D0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60" w:type="dxa"/>
            <w:vAlign w:val="center"/>
          </w:tcPr>
          <w:p w14:paraId="5DC43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60" w:firstLineChars="2000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pacing w:val="-16"/>
                <w:sz w:val="24"/>
                <w:szCs w:val="24"/>
              </w:rPr>
              <w:t>意</w:t>
            </w:r>
            <w:r>
              <w:rPr>
                <w:rFonts w:hint="eastAsia" w:cs="宋体"/>
                <w:b w:val="0"/>
                <w:bCs w:val="0"/>
                <w:spacing w:val="-16"/>
                <w:sz w:val="24"/>
                <w:szCs w:val="24"/>
                <w:lang w:eastAsia="zh-CN"/>
              </w:rPr>
              <w:t>意</w:t>
            </w:r>
            <w:r>
              <w:rPr>
                <w:rFonts w:hint="eastAsia" w:cs="宋体"/>
                <w:b w:val="0"/>
                <w:bCs w:val="0"/>
                <w:spacing w:val="-16"/>
                <w:sz w:val="24"/>
                <w:szCs w:val="24"/>
              </w:rPr>
              <w:t>识形态审查是否合格</w:t>
            </w:r>
          </w:p>
          <w:p w14:paraId="46892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24BE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pacing w:val="-16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BBA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pacing w:val="-16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pacing w:val="-16"/>
                <w:sz w:val="24"/>
                <w:szCs w:val="24"/>
              </w:rPr>
              <w:t>学术规范审查是否合格</w:t>
            </w:r>
          </w:p>
        </w:tc>
        <w:tc>
          <w:tcPr>
            <w:tcW w:w="1875" w:type="dxa"/>
            <w:vAlign w:val="center"/>
          </w:tcPr>
          <w:p w14:paraId="398DE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769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14:paraId="15A92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重复率</w:t>
            </w:r>
          </w:p>
          <w:p w14:paraId="048C4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（知网）</w:t>
            </w:r>
          </w:p>
          <w:p w14:paraId="42500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24B6B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14:paraId="39D67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14:paraId="28498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3DE5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122" w:type="dxa"/>
            <w:gridSpan w:val="6"/>
            <w:tcBorders>
              <w:bottom w:val="single" w:color="auto" w:sz="8" w:space="0"/>
            </w:tcBorders>
          </w:tcPr>
          <w:p w14:paraId="755D559B">
            <w:pPr>
              <w:spacing w:line="560" w:lineRule="exact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14:paraId="017E885E">
            <w:pPr>
              <w:spacing w:line="560" w:lineRule="exact"/>
              <w:ind w:firstLine="240" w:firstLineChars="10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14:paraId="68C72C1F">
            <w:pPr>
              <w:spacing w:line="560" w:lineRule="exact"/>
              <w:ind w:firstLine="240" w:firstLineChars="10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</w:rPr>
              <w:t>申报单位：（盖章）</w:t>
            </w:r>
          </w:p>
        </w:tc>
      </w:tr>
    </w:tbl>
    <w:p w14:paraId="769FBFE3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C1C7D1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安徽省社会科学界第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二十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届学术年会征文申报表</w:t>
      </w:r>
    </w:p>
    <w:p w14:paraId="005A088C">
      <w:pPr>
        <w:spacing w:line="560" w:lineRule="exact"/>
        <w:jc w:val="center"/>
        <w:rPr>
          <w:rFonts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（青年专场）</w:t>
      </w:r>
    </w:p>
    <w:tbl>
      <w:tblPr>
        <w:tblStyle w:val="6"/>
        <w:tblW w:w="9122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365"/>
        <w:gridCol w:w="1545"/>
        <w:gridCol w:w="1860"/>
        <w:gridCol w:w="1305"/>
        <w:gridCol w:w="1436"/>
      </w:tblGrid>
      <w:tr w14:paraId="595133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1DD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202C9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F2E11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50E1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7C6C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文化程度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E85E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40E26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961C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321B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6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C3E5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5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专业技术</w:t>
            </w:r>
          </w:p>
          <w:p w14:paraId="736D1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B5D41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62E7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A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学科类别</w:t>
            </w:r>
          </w:p>
        </w:tc>
        <w:tc>
          <w:tcPr>
            <w:tcW w:w="7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4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马克思主义理论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政治法律哲学社会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党史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党建等学科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51C4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经济管理生态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环境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等学科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历史文化文学艺术等学科</w:t>
            </w:r>
          </w:p>
        </w:tc>
      </w:tr>
      <w:tr w14:paraId="36592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6FB0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成果名称</w:t>
            </w:r>
          </w:p>
        </w:tc>
        <w:tc>
          <w:tcPr>
            <w:tcW w:w="7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16839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A023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BAC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通讯地址</w:t>
            </w:r>
          </w:p>
        </w:tc>
        <w:tc>
          <w:tcPr>
            <w:tcW w:w="7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E0E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1ABD1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54F4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邮政编码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E29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办公电话</w:t>
            </w:r>
          </w:p>
          <w:p w14:paraId="251B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移动手机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9015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85B3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电子邮箱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B8389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3AAC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1E12C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作者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63D2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0D6C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76C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务</w:t>
            </w:r>
          </w:p>
          <w:p w14:paraId="686073E0">
            <w:pPr>
              <w:spacing w:line="560" w:lineRule="exact"/>
              <w:jc w:val="center"/>
              <w:rPr>
                <w:rFonts w:cs="Times New Roman"/>
                <w:w w:val="90"/>
                <w:sz w:val="24"/>
                <w:szCs w:val="24"/>
              </w:rPr>
            </w:pPr>
            <w:r>
              <w:rPr>
                <w:rFonts w:hint="eastAsia" w:cs="宋体"/>
                <w:w w:val="90"/>
                <w:sz w:val="24"/>
                <w:szCs w:val="24"/>
              </w:rPr>
              <w:t>（专业技术职</w:t>
            </w:r>
            <w:r>
              <w:rPr>
                <w:rFonts w:hint="eastAsia" w:cs="宋体"/>
                <w:w w:val="90"/>
                <w:sz w:val="24"/>
                <w:szCs w:val="24"/>
                <w:lang w:eastAsia="zh-CN"/>
              </w:rPr>
              <w:t>称</w:t>
            </w:r>
            <w:r>
              <w:rPr>
                <w:rFonts w:hint="eastAsia" w:cs="宋体"/>
                <w:w w:val="90"/>
                <w:sz w:val="24"/>
                <w:szCs w:val="24"/>
              </w:rPr>
              <w:t>）</w:t>
            </w: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8C80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位</w:t>
            </w:r>
          </w:p>
        </w:tc>
      </w:tr>
      <w:tr w14:paraId="1457A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BD03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第一作者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7EAC8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9F4D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C068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91D7F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7AD86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F08D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第二作者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A5E3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24E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B33FC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7760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5882B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5640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第三作者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F781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907E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ECF5C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FA1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721DD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B999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5138C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6171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0F2D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480D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14:paraId="7B0B4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4D64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351DE">
            <w:pPr>
              <w:spacing w:line="560" w:lineRule="exact"/>
              <w:jc w:val="center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单位意见</w:t>
            </w:r>
          </w:p>
        </w:tc>
      </w:tr>
      <w:tr w14:paraId="31A81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A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pacing w:val="-16"/>
                <w:sz w:val="24"/>
                <w:szCs w:val="24"/>
              </w:rPr>
              <w:t>意识形态审查是否合格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1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7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pacing w:val="-16"/>
                <w:sz w:val="24"/>
                <w:szCs w:val="24"/>
              </w:rPr>
              <w:t>学术规范审查是否合格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80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1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FF1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重复率</w:t>
            </w:r>
          </w:p>
          <w:p w14:paraId="26C35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（知网）</w:t>
            </w:r>
          </w:p>
          <w:p w14:paraId="49A81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8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2A87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6740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14:paraId="6DC7F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FCBCB">
            <w:pPr>
              <w:spacing w:line="560" w:lineRule="exact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302AAAA">
            <w:pPr>
              <w:spacing w:line="560" w:lineRule="exact"/>
              <w:ind w:firstLine="241" w:firstLineChars="10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</w:p>
          <w:p w14:paraId="66A40479">
            <w:pPr>
              <w:spacing w:line="560" w:lineRule="exact"/>
              <w:ind w:firstLine="5280" w:firstLineChars="220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</w:rPr>
              <w:t>申报单位：（盖章）</w:t>
            </w:r>
          </w:p>
        </w:tc>
      </w:tr>
    </w:tbl>
    <w:p w14:paraId="57B26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cs="Times New Roman"/>
        </w:rPr>
      </w:pPr>
      <w:r>
        <w:rPr>
          <w:rFonts w:hint="eastAsia" w:eastAsia="宋体" w:cs="宋体"/>
          <w:sz w:val="24"/>
          <w:szCs w:val="24"/>
          <w:lang w:eastAsia="zh-CN"/>
        </w:rPr>
        <w:t>注：请在学科类别中划√。</w:t>
      </w:r>
    </w:p>
    <w:p w14:paraId="29C1CDF2">
      <w:pPr>
        <w:pStyle w:val="11"/>
        <w:rPr>
          <w:rFonts w:cs="Times New Roman"/>
        </w:rPr>
      </w:pPr>
    </w:p>
    <w:p w14:paraId="4ABE40EA">
      <w:pPr>
        <w:pStyle w:val="11"/>
        <w:rPr>
          <w:rFonts w:cs="Times New Roman"/>
        </w:rPr>
      </w:pPr>
    </w:p>
    <w:p w14:paraId="2C5B896F">
      <w:pPr>
        <w:pStyle w:val="11"/>
        <w:rPr>
          <w:rFonts w:cs="Times New Roman"/>
        </w:rPr>
      </w:pPr>
    </w:p>
    <w:p w14:paraId="3AFD0A1B">
      <w:pPr>
        <w:pStyle w:val="11"/>
        <w:rPr>
          <w:rFonts w:cs="Times New Roman"/>
        </w:rPr>
      </w:pPr>
    </w:p>
    <w:p w14:paraId="4DF0967B">
      <w:pPr>
        <w:pStyle w:val="11"/>
        <w:rPr>
          <w:rFonts w:cs="Times New Roman"/>
        </w:rPr>
      </w:pPr>
    </w:p>
    <w:p w14:paraId="4510B774">
      <w:pPr>
        <w:pStyle w:val="11"/>
        <w:rPr>
          <w:rFonts w:cs="Times New Roman"/>
        </w:rPr>
      </w:pPr>
    </w:p>
    <w:p w14:paraId="5A12B1A0">
      <w:pPr>
        <w:pStyle w:val="11"/>
        <w:rPr>
          <w:rFonts w:cs="Times New Roman"/>
        </w:rPr>
      </w:pPr>
    </w:p>
    <w:p w14:paraId="1906562B">
      <w:pPr>
        <w:pStyle w:val="11"/>
        <w:rPr>
          <w:rFonts w:cs="Times New Roman"/>
        </w:rPr>
      </w:pPr>
    </w:p>
    <w:p w14:paraId="5DB9F5EF">
      <w:pPr>
        <w:pStyle w:val="11"/>
        <w:rPr>
          <w:rFonts w:cs="Times New Roman"/>
        </w:rPr>
      </w:pPr>
    </w:p>
    <w:p w14:paraId="56FB2FE4">
      <w:pPr>
        <w:pStyle w:val="11"/>
        <w:rPr>
          <w:rFonts w:cs="Times New Roman"/>
        </w:rPr>
      </w:pPr>
    </w:p>
    <w:p w14:paraId="076FA691">
      <w:pPr>
        <w:pStyle w:val="11"/>
        <w:rPr>
          <w:rFonts w:cs="Times New Roman"/>
        </w:rPr>
      </w:pPr>
    </w:p>
    <w:p w14:paraId="50678D69">
      <w:pPr>
        <w:pStyle w:val="11"/>
        <w:rPr>
          <w:rFonts w:cs="Times New Roman"/>
        </w:rPr>
      </w:pPr>
    </w:p>
    <w:p w14:paraId="568EF9DC">
      <w:pPr>
        <w:pStyle w:val="11"/>
        <w:rPr>
          <w:rFonts w:cs="Times New Roman"/>
        </w:rPr>
      </w:pPr>
    </w:p>
    <w:p w14:paraId="165B5391">
      <w:pPr>
        <w:pStyle w:val="11"/>
        <w:rPr>
          <w:rFonts w:cs="Times New Roman"/>
        </w:rPr>
      </w:pPr>
    </w:p>
    <w:p w14:paraId="064710AE">
      <w:pPr>
        <w:pStyle w:val="11"/>
        <w:rPr>
          <w:rFonts w:cs="Times New Roman"/>
        </w:rPr>
      </w:pPr>
    </w:p>
    <w:p w14:paraId="4EE2C74C">
      <w:pPr>
        <w:pStyle w:val="11"/>
        <w:rPr>
          <w:rFonts w:cs="Times New Roman"/>
        </w:rPr>
      </w:pPr>
    </w:p>
    <w:p w14:paraId="6793DF5C">
      <w:pPr>
        <w:pStyle w:val="11"/>
        <w:rPr>
          <w:rFonts w:cs="Times New Roman"/>
        </w:rPr>
      </w:pPr>
    </w:p>
    <w:p w14:paraId="6E4BA0D3">
      <w:pPr>
        <w:pStyle w:val="11"/>
        <w:rPr>
          <w:rFonts w:cs="Times New Roman"/>
        </w:rPr>
      </w:pPr>
    </w:p>
    <w:p w14:paraId="04544BA1">
      <w:pPr>
        <w:pStyle w:val="11"/>
        <w:rPr>
          <w:rFonts w:cs="Times New Roman"/>
        </w:rPr>
      </w:pPr>
    </w:p>
    <w:p w14:paraId="6E7F575C">
      <w:pPr>
        <w:pStyle w:val="11"/>
        <w:rPr>
          <w:rFonts w:cs="Times New Roman"/>
        </w:rPr>
      </w:pPr>
    </w:p>
    <w:p w14:paraId="6CEA4CDE">
      <w:pPr>
        <w:pStyle w:val="11"/>
        <w:rPr>
          <w:rFonts w:cs="Times New Roman"/>
        </w:rPr>
      </w:pPr>
    </w:p>
    <w:p w14:paraId="0E0AA0E2">
      <w:pPr>
        <w:pStyle w:val="11"/>
        <w:rPr>
          <w:rFonts w:cs="Times New Roman"/>
        </w:rPr>
      </w:pPr>
    </w:p>
    <w:p w14:paraId="519DD5AF">
      <w:pPr>
        <w:pStyle w:val="11"/>
        <w:rPr>
          <w:rFonts w:cs="Times New Roman"/>
        </w:rPr>
      </w:pPr>
    </w:p>
    <w:p w14:paraId="432C2892">
      <w:pPr>
        <w:pStyle w:val="11"/>
        <w:rPr>
          <w:rFonts w:cs="Times New Roman"/>
        </w:rPr>
      </w:pPr>
    </w:p>
    <w:p w14:paraId="378BC39B">
      <w:pPr>
        <w:pStyle w:val="11"/>
        <w:rPr>
          <w:rFonts w:cs="Times New Roman"/>
        </w:rPr>
      </w:pPr>
    </w:p>
    <w:p w14:paraId="778FF238">
      <w:pPr>
        <w:pStyle w:val="11"/>
        <w:rPr>
          <w:rFonts w:cs="Times New Roman"/>
        </w:rPr>
      </w:pPr>
    </w:p>
    <w:sectPr>
      <w:footerReference r:id="rId3" w:type="default"/>
      <w:pgSz w:w="11906" w:h="16838"/>
      <w:pgMar w:top="1440" w:right="1627" w:bottom="1440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96D11">
    <w:pPr>
      <w:pStyle w:val="3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14:paraId="561AA187">
    <w:pPr>
      <w:pStyle w:val="3"/>
      <w:ind w:right="360"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5E2BC">
                          <w:pPr>
                            <w:pStyle w:val="3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tbuXfQAAAAAgEAAA8AAAAAAAAAAQAgAAAAIgAAAGRycy9kb3du&#10;cmV2LnhtbFBLAQIUABQAAAAIAIdO4kCDrW45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E5E2BC">
                    <w:pPr>
                      <w:pStyle w:val="3"/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AF"/>
    <w:rsid w:val="0004051D"/>
    <w:rsid w:val="00052AC4"/>
    <w:rsid w:val="000829B2"/>
    <w:rsid w:val="000B4917"/>
    <w:rsid w:val="000E03BC"/>
    <w:rsid w:val="00173E5F"/>
    <w:rsid w:val="00281254"/>
    <w:rsid w:val="002909A4"/>
    <w:rsid w:val="00324334"/>
    <w:rsid w:val="003C1F48"/>
    <w:rsid w:val="003F4D09"/>
    <w:rsid w:val="003F51AF"/>
    <w:rsid w:val="00420249"/>
    <w:rsid w:val="004366DC"/>
    <w:rsid w:val="00474796"/>
    <w:rsid w:val="004A19A1"/>
    <w:rsid w:val="004E6172"/>
    <w:rsid w:val="0050637B"/>
    <w:rsid w:val="0056718E"/>
    <w:rsid w:val="00571710"/>
    <w:rsid w:val="007060F7"/>
    <w:rsid w:val="007F3FB3"/>
    <w:rsid w:val="007F487B"/>
    <w:rsid w:val="00820699"/>
    <w:rsid w:val="008B144C"/>
    <w:rsid w:val="00934A1C"/>
    <w:rsid w:val="009D2526"/>
    <w:rsid w:val="00A76003"/>
    <w:rsid w:val="00A848C1"/>
    <w:rsid w:val="00AA78EA"/>
    <w:rsid w:val="00B16764"/>
    <w:rsid w:val="00B85810"/>
    <w:rsid w:val="00BC57E9"/>
    <w:rsid w:val="00BE4CB6"/>
    <w:rsid w:val="00C0206B"/>
    <w:rsid w:val="00C216DE"/>
    <w:rsid w:val="00C73AFE"/>
    <w:rsid w:val="00D1190B"/>
    <w:rsid w:val="00D54334"/>
    <w:rsid w:val="00DE40A7"/>
    <w:rsid w:val="00E04321"/>
    <w:rsid w:val="00E47DD3"/>
    <w:rsid w:val="00EA1D7D"/>
    <w:rsid w:val="00ED4B53"/>
    <w:rsid w:val="00F43551"/>
    <w:rsid w:val="00F47769"/>
    <w:rsid w:val="00F9608A"/>
    <w:rsid w:val="0871155A"/>
    <w:rsid w:val="0DD3343C"/>
    <w:rsid w:val="0EE00EC5"/>
    <w:rsid w:val="15D7D89B"/>
    <w:rsid w:val="171C0BA4"/>
    <w:rsid w:val="17D3B417"/>
    <w:rsid w:val="1ABA29FA"/>
    <w:rsid w:val="1DF19F6E"/>
    <w:rsid w:val="1EC5DC8A"/>
    <w:rsid w:val="1FE36277"/>
    <w:rsid w:val="22FF3719"/>
    <w:rsid w:val="2AFB45C6"/>
    <w:rsid w:val="2D459A40"/>
    <w:rsid w:val="2FBB8104"/>
    <w:rsid w:val="2FDF5975"/>
    <w:rsid w:val="318F6AEE"/>
    <w:rsid w:val="35DFD767"/>
    <w:rsid w:val="35E980A6"/>
    <w:rsid w:val="398506AD"/>
    <w:rsid w:val="39C71C68"/>
    <w:rsid w:val="3B15C85B"/>
    <w:rsid w:val="3B6B1A66"/>
    <w:rsid w:val="3BB74CA0"/>
    <w:rsid w:val="3BF7EE21"/>
    <w:rsid w:val="3CFE8C2A"/>
    <w:rsid w:val="3D6723CA"/>
    <w:rsid w:val="3DAE6275"/>
    <w:rsid w:val="3DDF9354"/>
    <w:rsid w:val="3F276825"/>
    <w:rsid w:val="3F7F775D"/>
    <w:rsid w:val="3FBBF800"/>
    <w:rsid w:val="3FBF6259"/>
    <w:rsid w:val="3FFB91A4"/>
    <w:rsid w:val="3FFF8553"/>
    <w:rsid w:val="4BEE03ED"/>
    <w:rsid w:val="4E7EEB47"/>
    <w:rsid w:val="4FE76945"/>
    <w:rsid w:val="4FF68176"/>
    <w:rsid w:val="4FFF8654"/>
    <w:rsid w:val="51484040"/>
    <w:rsid w:val="53F781AC"/>
    <w:rsid w:val="5AC6BAC9"/>
    <w:rsid w:val="5AE8208D"/>
    <w:rsid w:val="5EED3757"/>
    <w:rsid w:val="5F3E9F01"/>
    <w:rsid w:val="5FC8BA23"/>
    <w:rsid w:val="5FD34AE2"/>
    <w:rsid w:val="5FE6125C"/>
    <w:rsid w:val="5FFE6360"/>
    <w:rsid w:val="5FFEE27B"/>
    <w:rsid w:val="649C269E"/>
    <w:rsid w:val="66E3942F"/>
    <w:rsid w:val="6AAF4A1F"/>
    <w:rsid w:val="6BFE6FFF"/>
    <w:rsid w:val="6FA67EBF"/>
    <w:rsid w:val="6FDB89EE"/>
    <w:rsid w:val="6FFFF173"/>
    <w:rsid w:val="71FD6FCE"/>
    <w:rsid w:val="72BF305A"/>
    <w:rsid w:val="72DF2804"/>
    <w:rsid w:val="72FD5114"/>
    <w:rsid w:val="74566D55"/>
    <w:rsid w:val="76BBEEE1"/>
    <w:rsid w:val="76BF42F1"/>
    <w:rsid w:val="76EF36A5"/>
    <w:rsid w:val="775BD169"/>
    <w:rsid w:val="775F9F25"/>
    <w:rsid w:val="777BAB97"/>
    <w:rsid w:val="77CF1050"/>
    <w:rsid w:val="77F7C3C1"/>
    <w:rsid w:val="77F96355"/>
    <w:rsid w:val="77FD13ED"/>
    <w:rsid w:val="79BB4259"/>
    <w:rsid w:val="79ED2F55"/>
    <w:rsid w:val="79F658DB"/>
    <w:rsid w:val="79FEB37D"/>
    <w:rsid w:val="7AD7D3D8"/>
    <w:rsid w:val="7B45A337"/>
    <w:rsid w:val="7B7E41BB"/>
    <w:rsid w:val="7BB9C23D"/>
    <w:rsid w:val="7BDDA10A"/>
    <w:rsid w:val="7BF9D599"/>
    <w:rsid w:val="7D7F6415"/>
    <w:rsid w:val="7DFB9DAD"/>
    <w:rsid w:val="7DFEEDCC"/>
    <w:rsid w:val="7E593385"/>
    <w:rsid w:val="7EBF9838"/>
    <w:rsid w:val="7EFF689E"/>
    <w:rsid w:val="7F49E6CA"/>
    <w:rsid w:val="7F6F5F66"/>
    <w:rsid w:val="7F76CB10"/>
    <w:rsid w:val="7FD340FE"/>
    <w:rsid w:val="7FEB1E45"/>
    <w:rsid w:val="7FEBD2C8"/>
    <w:rsid w:val="7FFF1268"/>
    <w:rsid w:val="7FFFF041"/>
    <w:rsid w:val="87D6A5D3"/>
    <w:rsid w:val="8BDAFE20"/>
    <w:rsid w:val="96872525"/>
    <w:rsid w:val="9BFF1D93"/>
    <w:rsid w:val="9D7F485A"/>
    <w:rsid w:val="9E7CA2CF"/>
    <w:rsid w:val="9FF36240"/>
    <w:rsid w:val="9FFFF044"/>
    <w:rsid w:val="AAEEB07F"/>
    <w:rsid w:val="AB9B8993"/>
    <w:rsid w:val="AD68EA43"/>
    <w:rsid w:val="AFEBEF10"/>
    <w:rsid w:val="AFF6C993"/>
    <w:rsid w:val="B43FD55C"/>
    <w:rsid w:val="B57327F0"/>
    <w:rsid w:val="B5E55F7B"/>
    <w:rsid w:val="B68F9F37"/>
    <w:rsid w:val="B71CBC48"/>
    <w:rsid w:val="B7976778"/>
    <w:rsid w:val="B7FE9517"/>
    <w:rsid w:val="B7FF640D"/>
    <w:rsid w:val="B8F64A61"/>
    <w:rsid w:val="BCBB14D8"/>
    <w:rsid w:val="BDFDE53D"/>
    <w:rsid w:val="BEBD3562"/>
    <w:rsid w:val="BF3A99E9"/>
    <w:rsid w:val="BFEBA277"/>
    <w:rsid w:val="BFF7B6D9"/>
    <w:rsid w:val="C3FF633D"/>
    <w:rsid w:val="CB9A62C0"/>
    <w:rsid w:val="CDABFB9D"/>
    <w:rsid w:val="D3BF46F9"/>
    <w:rsid w:val="D55F39D7"/>
    <w:rsid w:val="D5FDE950"/>
    <w:rsid w:val="D69A6948"/>
    <w:rsid w:val="D7775CE5"/>
    <w:rsid w:val="D7FB65EF"/>
    <w:rsid w:val="D7FF68BD"/>
    <w:rsid w:val="D9CD132D"/>
    <w:rsid w:val="DB7C47CA"/>
    <w:rsid w:val="DBEFDF79"/>
    <w:rsid w:val="DCFFD84F"/>
    <w:rsid w:val="DD136079"/>
    <w:rsid w:val="DE8F2ABD"/>
    <w:rsid w:val="DFBEA265"/>
    <w:rsid w:val="DFBFA659"/>
    <w:rsid w:val="DFC713BB"/>
    <w:rsid w:val="E523C58F"/>
    <w:rsid w:val="E6F688AF"/>
    <w:rsid w:val="E7593EC3"/>
    <w:rsid w:val="E9DB6E21"/>
    <w:rsid w:val="EBFB562B"/>
    <w:rsid w:val="EDFB5A02"/>
    <w:rsid w:val="EF9EE94E"/>
    <w:rsid w:val="EFC401F4"/>
    <w:rsid w:val="EFDD51D3"/>
    <w:rsid w:val="F37F4EE6"/>
    <w:rsid w:val="F4AFDED4"/>
    <w:rsid w:val="F5E734BB"/>
    <w:rsid w:val="F5FB191E"/>
    <w:rsid w:val="F79C8F1A"/>
    <w:rsid w:val="F7BBC800"/>
    <w:rsid w:val="F7CE3B11"/>
    <w:rsid w:val="F7F6A4C3"/>
    <w:rsid w:val="F9795C8C"/>
    <w:rsid w:val="F9DE3564"/>
    <w:rsid w:val="F9F69CC8"/>
    <w:rsid w:val="FAFF734E"/>
    <w:rsid w:val="FB6B7964"/>
    <w:rsid w:val="FBD3D648"/>
    <w:rsid w:val="FBFFDA66"/>
    <w:rsid w:val="FCF730F2"/>
    <w:rsid w:val="FD7D5852"/>
    <w:rsid w:val="FDFDC58B"/>
    <w:rsid w:val="FDFF31DA"/>
    <w:rsid w:val="FE751441"/>
    <w:rsid w:val="FEB5640D"/>
    <w:rsid w:val="FECB8131"/>
    <w:rsid w:val="FEE7441C"/>
    <w:rsid w:val="FEF972DC"/>
    <w:rsid w:val="FEFB4FD1"/>
    <w:rsid w:val="FEFD69E0"/>
    <w:rsid w:val="FF5E6CC2"/>
    <w:rsid w:val="FF7E3031"/>
    <w:rsid w:val="FFCDFD7B"/>
    <w:rsid w:val="FFD119E8"/>
    <w:rsid w:val="FFDA4EA7"/>
    <w:rsid w:val="FFE73383"/>
    <w:rsid w:val="FFF4225F"/>
    <w:rsid w:val="FFF7F39C"/>
    <w:rsid w:val="FFF7F746"/>
    <w:rsid w:val="FFFAF724"/>
    <w:rsid w:val="FFFBB90F"/>
    <w:rsid w:val="FFFBF356"/>
    <w:rsid w:val="FFFDAC07"/>
    <w:rsid w:val="FF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styleId="9">
    <w:name w:val="Emphasis"/>
    <w:basedOn w:val="7"/>
    <w:qFormat/>
    <w:locked/>
    <w:uiPriority w:val="0"/>
    <w:rPr>
      <w:i/>
    </w:rPr>
  </w:style>
  <w:style w:type="character" w:styleId="10">
    <w:name w:val="Hyperlink"/>
    <w:basedOn w:val="7"/>
    <w:qFormat/>
    <w:uiPriority w:val="99"/>
    <w:rPr>
      <w:color w:val="auto"/>
      <w:u w:val="single"/>
    </w:rPr>
  </w:style>
  <w:style w:type="paragraph" w:customStyle="1" w:styleId="11">
    <w:name w:val="BodyText"/>
    <w:basedOn w:val="1"/>
    <w:qFormat/>
    <w:uiPriority w:val="99"/>
    <w:pPr>
      <w:spacing w:after="120"/>
      <w:textAlignment w:val="baseline"/>
    </w:pPr>
  </w:style>
  <w:style w:type="character" w:customStyle="1" w:styleId="12">
    <w:name w:val="Footer Char"/>
    <w:basedOn w:val="7"/>
    <w:link w:val="3"/>
    <w:qFormat/>
    <w:locked/>
    <w:uiPriority w:val="99"/>
    <w:rPr>
      <w:sz w:val="18"/>
      <w:szCs w:val="18"/>
    </w:rPr>
  </w:style>
  <w:style w:type="character" w:customStyle="1" w:styleId="13">
    <w:name w:val="Header Char"/>
    <w:basedOn w:val="7"/>
    <w:link w:val="4"/>
    <w:qFormat/>
    <w:locked/>
    <w:uiPriority w:val="99"/>
    <w:rPr>
      <w:sz w:val="18"/>
      <w:szCs w:val="18"/>
    </w:rPr>
  </w:style>
  <w:style w:type="character" w:customStyle="1" w:styleId="14">
    <w:name w:val="HTML Preformatted Char"/>
    <w:basedOn w:val="7"/>
    <w:link w:val="5"/>
    <w:semiHidden/>
    <w:qFormat/>
    <w:locked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HFUT</Company>
  <Pages>6</Pages>
  <Words>2889</Words>
  <Characters>3100</Characters>
  <Lines>0</Lines>
  <Paragraphs>0</Paragraphs>
  <TotalTime>64</TotalTime>
  <ScaleCrop>false</ScaleCrop>
  <LinksUpToDate>false</LinksUpToDate>
  <CharactersWithSpaces>3322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2023-08-11T00:08:00Z</dcterms:created>
  <dc:creator>HFUT</dc:creator>
  <cp:lastModifiedBy>Gloria</cp:lastModifiedBy>
  <cp:lastPrinted>2025-07-23T08:59:00Z</cp:lastPrinted>
  <dcterms:modified xsi:type="dcterms:W3CDTF">2025-07-24T06:15:50Z</dcterms:modified>
  <dc:title>关于安徽省社会科学界第十八届（2023）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eyJoZGlkIjoiNWU5ZTYyM2I5ZDk0Mjc3YjhkYmFhODY3MmQxMmE2MWQiLCJ1c2VySWQiOiIyMzgxMDU2MzIifQ==</vt:lpwstr>
  </property>
  <property fmtid="{D5CDD505-2E9C-101B-9397-08002B2CF9AE}" pid="4" name="ICV">
    <vt:lpwstr>3529C63740334945B44673A55E632E47_13</vt:lpwstr>
  </property>
</Properties>
</file>