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5BD37">
      <w:pPr>
        <w:pStyle w:val="4"/>
        <w:spacing w:before="0" w:beforeAutospacing="0" w:after="0" w:afterAutospacing="0" w:line="600" w:lineRule="exact"/>
        <w:rPr>
          <w:rFonts w:ascii="Times New Roman" w:hAnsi="Times New Roman" w:eastAsia="黑体"/>
          <w:bCs/>
          <w:kern w:val="0"/>
          <w:sz w:val="32"/>
          <w:szCs w:val="32"/>
          <w:shd w:val="clear" w:color="auto" w:fill="FFFFFF"/>
        </w:rPr>
      </w:pPr>
      <w:r>
        <w:rPr>
          <w:rFonts w:ascii="Times New Roman" w:hAnsi="Times New Roman" w:eastAsia="黑体"/>
          <w:bCs/>
          <w:kern w:val="0"/>
          <w:sz w:val="32"/>
          <w:szCs w:val="32"/>
          <w:shd w:val="clear" w:color="auto" w:fill="FFFFFF"/>
        </w:rPr>
        <w:t>附件</w:t>
      </w:r>
    </w:p>
    <w:p w14:paraId="5C0CCA4A">
      <w:pPr>
        <w:pStyle w:val="4"/>
        <w:spacing w:before="0" w:beforeAutospacing="0" w:after="0" w:afterAutospacing="0" w:line="600" w:lineRule="exact"/>
        <w:rPr>
          <w:rFonts w:ascii="Times New Roman" w:hAnsi="Times New Roman" w:eastAsia="黑体"/>
          <w:bCs/>
          <w:kern w:val="0"/>
          <w:sz w:val="32"/>
          <w:szCs w:val="32"/>
          <w:shd w:val="clear" w:color="auto" w:fill="FFFFFF"/>
        </w:rPr>
      </w:pPr>
    </w:p>
    <w:p w14:paraId="226257DC">
      <w:pPr>
        <w:pStyle w:val="4"/>
        <w:spacing w:before="0" w:beforeAutospacing="0" w:after="0" w:afterAutospacing="0"/>
        <w:jc w:val="center"/>
        <w:rPr>
          <w:rFonts w:hint="eastAsia" w:ascii="Times New Roman" w:hAnsi="Times New Roman" w:eastAsia="方正小标宋简体"/>
          <w:bCs/>
          <w:kern w:val="0"/>
          <w:sz w:val="40"/>
          <w:szCs w:val="40"/>
          <w:shd w:val="clear" w:color="auto" w:fill="FFFFFF"/>
          <w:lang w:eastAsia="zh-CN"/>
        </w:rPr>
      </w:pPr>
      <w:r>
        <w:rPr>
          <w:rFonts w:hint="eastAsia" w:ascii="Times New Roman" w:hAnsi="Times New Roman" w:eastAsia="方正小标宋简体"/>
          <w:bCs/>
          <w:kern w:val="0"/>
          <w:sz w:val="40"/>
          <w:szCs w:val="40"/>
          <w:shd w:val="clear" w:color="auto" w:fill="FFFFFF"/>
          <w:lang w:val="en-US" w:eastAsia="zh-CN"/>
        </w:rPr>
        <w:t>2025</w:t>
      </w:r>
      <w:r>
        <w:rPr>
          <w:rFonts w:hint="eastAsia" w:ascii="Times New Roman" w:hAnsi="Times New Roman" w:eastAsia="方正小标宋简体"/>
          <w:bCs/>
          <w:kern w:val="0"/>
          <w:sz w:val="40"/>
          <w:szCs w:val="40"/>
          <w:shd w:val="clear" w:color="auto" w:fill="FFFFFF"/>
        </w:rPr>
        <w:t>年</w:t>
      </w:r>
      <w:r>
        <w:rPr>
          <w:rFonts w:hint="eastAsia" w:ascii="Times New Roman" w:hAnsi="Times New Roman" w:eastAsia="方正小标宋简体"/>
          <w:bCs/>
          <w:kern w:val="0"/>
          <w:sz w:val="40"/>
          <w:szCs w:val="40"/>
          <w:shd w:val="clear" w:color="auto" w:fill="FFFFFF"/>
          <w:lang w:eastAsia="zh-CN"/>
        </w:rPr>
        <w:t>度</w:t>
      </w:r>
      <w:r>
        <w:rPr>
          <w:rFonts w:hint="eastAsia" w:ascii="Times New Roman" w:hAnsi="Times New Roman" w:eastAsia="方正小标宋简体"/>
          <w:bCs/>
          <w:kern w:val="0"/>
          <w:sz w:val="40"/>
          <w:szCs w:val="40"/>
          <w:shd w:val="clear" w:color="auto" w:fill="FFFFFF"/>
        </w:rPr>
        <w:t>安徽省科技创新战略与软科学研究</w:t>
      </w:r>
      <w:r>
        <w:rPr>
          <w:rFonts w:hint="eastAsia" w:ascii="Times New Roman" w:hAnsi="Times New Roman" w:eastAsia="方正小标宋简体"/>
          <w:bCs/>
          <w:kern w:val="0"/>
          <w:sz w:val="40"/>
          <w:szCs w:val="40"/>
          <w:shd w:val="clear" w:color="auto" w:fill="FFFFFF"/>
          <w:lang w:eastAsia="zh-CN"/>
        </w:rPr>
        <w:t>专项</w:t>
      </w:r>
    </w:p>
    <w:p w14:paraId="2E3A7D4C">
      <w:pPr>
        <w:pStyle w:val="4"/>
        <w:spacing w:before="0" w:beforeAutospacing="0" w:after="0" w:afterAutospacing="0"/>
        <w:jc w:val="center"/>
        <w:rPr>
          <w:rFonts w:ascii="Times New Roman" w:hAnsi="Times New Roman" w:eastAsia="方正小标宋简体"/>
          <w:bCs/>
          <w:kern w:val="0"/>
          <w:sz w:val="40"/>
          <w:szCs w:val="40"/>
          <w:shd w:val="clear" w:color="auto" w:fill="FFFFFF"/>
        </w:rPr>
      </w:pPr>
      <w:r>
        <w:rPr>
          <w:rFonts w:hint="eastAsia" w:ascii="Times New Roman" w:hAnsi="Times New Roman" w:eastAsia="方正小标宋简体"/>
          <w:bCs/>
          <w:kern w:val="0"/>
          <w:sz w:val="40"/>
          <w:szCs w:val="40"/>
          <w:shd w:val="clear" w:color="auto" w:fill="FFFFFF"/>
          <w:lang w:eastAsia="zh-CN"/>
        </w:rPr>
        <w:t>重大项目</w:t>
      </w:r>
      <w:r>
        <w:rPr>
          <w:rFonts w:ascii="Times New Roman" w:hAnsi="Times New Roman" w:eastAsia="方正小标宋简体"/>
          <w:bCs/>
          <w:kern w:val="0"/>
          <w:sz w:val="40"/>
          <w:szCs w:val="40"/>
          <w:shd w:val="clear" w:color="auto" w:fill="FFFFFF"/>
        </w:rPr>
        <w:t>申报指南</w:t>
      </w:r>
    </w:p>
    <w:p w14:paraId="6DE2C459">
      <w:pPr>
        <w:pStyle w:val="4"/>
        <w:spacing w:before="0" w:beforeAutospacing="0" w:after="0" w:afterAutospacing="0"/>
        <w:jc w:val="center"/>
        <w:rPr>
          <w:rFonts w:ascii="Times New Roman" w:hAnsi="Times New Roman" w:eastAsia="方正小标宋简体"/>
          <w:bCs/>
          <w:kern w:val="0"/>
          <w:sz w:val="40"/>
          <w:szCs w:val="40"/>
          <w:shd w:val="clear" w:color="auto" w:fill="FFFFFF"/>
        </w:rPr>
      </w:pPr>
    </w:p>
    <w:p w14:paraId="23F2F87C">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eastAsia" w:ascii="Times New Roman" w:hAnsi="Times New Roman" w:eastAsia="黑体" w:cs="黑体"/>
          <w:bCs/>
          <w:color w:val="auto"/>
          <w:kern w:val="0"/>
          <w:sz w:val="32"/>
          <w:szCs w:val="32"/>
          <w:highlight w:val="none"/>
        </w:rPr>
      </w:pPr>
      <w:r>
        <w:rPr>
          <w:rFonts w:hint="eastAsia" w:ascii="Times New Roman" w:hAnsi="Times New Roman" w:eastAsia="黑体" w:cs="黑体"/>
          <w:bCs/>
          <w:color w:val="auto"/>
          <w:kern w:val="0"/>
          <w:sz w:val="32"/>
          <w:szCs w:val="32"/>
          <w:highlight w:val="none"/>
          <w:lang w:eastAsia="zh-CN"/>
        </w:rPr>
        <w:t>一、</w:t>
      </w:r>
      <w:r>
        <w:rPr>
          <w:rFonts w:hint="eastAsia" w:ascii="Times New Roman" w:hAnsi="Times New Roman" w:eastAsia="黑体" w:cs="黑体"/>
          <w:bCs/>
          <w:color w:val="auto"/>
          <w:kern w:val="0"/>
          <w:sz w:val="32"/>
          <w:szCs w:val="32"/>
          <w:highlight w:val="none"/>
        </w:rPr>
        <w:t>安徽省</w:t>
      </w:r>
      <w:r>
        <w:rPr>
          <w:rFonts w:hint="eastAsia" w:ascii="Times New Roman" w:hAnsi="Times New Roman" w:eastAsia="黑体" w:cs="黑体"/>
          <w:bCs/>
          <w:color w:val="auto"/>
          <w:kern w:val="0"/>
          <w:sz w:val="32"/>
          <w:szCs w:val="32"/>
          <w:highlight w:val="none"/>
          <w:lang w:eastAsia="zh-CN"/>
        </w:rPr>
        <w:t>科技创新</w:t>
      </w:r>
      <w:r>
        <w:rPr>
          <w:rFonts w:hint="eastAsia" w:ascii="Times New Roman" w:hAnsi="Times New Roman" w:eastAsia="黑体" w:cs="黑体"/>
          <w:bCs/>
          <w:color w:val="auto"/>
          <w:kern w:val="0"/>
          <w:sz w:val="32"/>
          <w:szCs w:val="32"/>
          <w:highlight w:val="none"/>
        </w:rPr>
        <w:t>区域协同发展路径研究</w:t>
      </w:r>
    </w:p>
    <w:p w14:paraId="68C32A8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rPr>
      </w:pPr>
      <w:r>
        <w:rPr>
          <w:rFonts w:ascii="Times New Roman" w:hAnsi="Times New Roman" w:eastAsia="方正仿宋_GBK"/>
          <w:bCs/>
          <w:color w:val="auto"/>
          <w:kern w:val="0"/>
          <w:sz w:val="32"/>
          <w:szCs w:val="32"/>
          <w:highlight w:val="none"/>
        </w:rPr>
        <w:t>研究内容：</w:t>
      </w:r>
      <w:r>
        <w:rPr>
          <w:rFonts w:hint="eastAsia" w:ascii="Times New Roman" w:hAnsi="Times New Roman" w:eastAsia="方正仿宋_GBK"/>
          <w:bCs/>
          <w:color w:val="auto"/>
          <w:kern w:val="0"/>
          <w:sz w:val="32"/>
          <w:szCs w:val="32"/>
          <w:highlight w:val="none"/>
        </w:rPr>
        <w:t>梳理分析我省区域创新现状，对标区域创新能力处于全国第一方阵的先发省（市），比较分析我省及各市区域创新的机遇和挑战、优势和劣势</w:t>
      </w:r>
      <w:r>
        <w:rPr>
          <w:rFonts w:hint="eastAsia" w:ascii="Times New Roman" w:hAnsi="Times New Roman" w:eastAsia="方正仿宋_GBK"/>
          <w:bCs/>
          <w:color w:val="auto"/>
          <w:kern w:val="0"/>
          <w:sz w:val="32"/>
          <w:szCs w:val="32"/>
          <w:highlight w:val="none"/>
          <w:lang w:eastAsia="zh-CN"/>
        </w:rPr>
        <w:t>。</w:t>
      </w:r>
      <w:r>
        <w:rPr>
          <w:rFonts w:hint="eastAsia" w:ascii="Times New Roman" w:hAnsi="Times New Roman" w:eastAsia="方正仿宋_GBK"/>
          <w:bCs/>
          <w:color w:val="auto"/>
          <w:kern w:val="0"/>
          <w:sz w:val="32"/>
          <w:szCs w:val="32"/>
          <w:highlight w:val="none"/>
        </w:rPr>
        <w:t>研究提出科技支撑皖北全面振兴和重点产业集群建设、“大黄山”国际休闲度假旅游目的地建设、城市功能品质活力提升等工作举措</w:t>
      </w:r>
      <w:r>
        <w:rPr>
          <w:rFonts w:hint="eastAsia" w:ascii="Times New Roman" w:hAnsi="Times New Roman" w:eastAsia="方正仿宋_GBK"/>
          <w:bCs/>
          <w:color w:val="auto"/>
          <w:kern w:val="0"/>
          <w:sz w:val="32"/>
          <w:szCs w:val="32"/>
          <w:highlight w:val="none"/>
          <w:lang w:eastAsia="zh-CN"/>
        </w:rPr>
        <w:t>。</w:t>
      </w:r>
      <w:r>
        <w:rPr>
          <w:rFonts w:hint="eastAsia" w:ascii="Times New Roman" w:hAnsi="Times New Roman" w:eastAsia="方正仿宋_GBK"/>
          <w:bCs/>
          <w:color w:val="auto"/>
          <w:kern w:val="0"/>
          <w:sz w:val="32"/>
          <w:szCs w:val="32"/>
          <w:highlight w:val="none"/>
        </w:rPr>
        <w:t>研究提出建设我省高质量区域创新体系、提升县域创新能级的总体思路与对策建议。</w:t>
      </w:r>
    </w:p>
    <w:p w14:paraId="0D0C46B2">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rPr>
      </w:pPr>
      <w:r>
        <w:rPr>
          <w:rFonts w:hint="eastAsia" w:ascii="Times New Roman" w:hAnsi="Times New Roman" w:eastAsia="方正仿宋_GBK"/>
          <w:bCs/>
          <w:color w:val="auto"/>
          <w:kern w:val="0"/>
          <w:sz w:val="32"/>
          <w:szCs w:val="32"/>
          <w:highlight w:val="none"/>
        </w:rPr>
        <w:t>预期成果形式：</w:t>
      </w:r>
      <w:r>
        <w:rPr>
          <w:rFonts w:hint="eastAsia" w:ascii="Times New Roman" w:hAnsi="Times New Roman" w:eastAsia="方正仿宋_GBK"/>
          <w:bCs/>
          <w:color w:val="auto"/>
          <w:kern w:val="0"/>
          <w:sz w:val="32"/>
          <w:szCs w:val="32"/>
          <w:highlight w:val="none"/>
          <w:lang w:val="en-US" w:eastAsia="zh-CN"/>
        </w:rPr>
        <w:t>1.</w:t>
      </w:r>
      <w:r>
        <w:rPr>
          <w:rFonts w:hint="eastAsia" w:ascii="Times New Roman" w:hAnsi="Times New Roman" w:eastAsia="方正仿宋_GBK"/>
          <w:bCs/>
          <w:color w:val="auto"/>
          <w:kern w:val="0"/>
          <w:sz w:val="32"/>
          <w:szCs w:val="32"/>
          <w:highlight w:val="none"/>
        </w:rPr>
        <w:t>《安徽省高质量区域创新体系建设的战略构想与路径研究报告》</w:t>
      </w:r>
      <w:r>
        <w:rPr>
          <w:rFonts w:hint="eastAsia" w:ascii="Times New Roman" w:hAnsi="Times New Roman" w:eastAsia="方正仿宋_GBK"/>
          <w:bCs/>
          <w:color w:val="auto"/>
          <w:kern w:val="0"/>
          <w:sz w:val="32"/>
          <w:szCs w:val="32"/>
          <w:highlight w:val="none"/>
          <w:lang w:eastAsia="zh-CN"/>
        </w:rPr>
        <w:t>；</w:t>
      </w:r>
      <w:r>
        <w:rPr>
          <w:rFonts w:hint="eastAsia" w:ascii="Times New Roman" w:hAnsi="Times New Roman" w:eastAsia="方正仿宋_GBK"/>
          <w:bCs/>
          <w:color w:val="auto"/>
          <w:kern w:val="0"/>
          <w:sz w:val="32"/>
          <w:szCs w:val="32"/>
          <w:highlight w:val="none"/>
          <w:lang w:val="en-US" w:eastAsia="zh-CN"/>
        </w:rPr>
        <w:t>2.</w:t>
      </w:r>
      <w:r>
        <w:rPr>
          <w:rFonts w:hint="eastAsia" w:ascii="Times New Roman" w:hAnsi="Times New Roman" w:eastAsia="方正仿宋_GBK"/>
          <w:bCs/>
          <w:color w:val="auto"/>
          <w:kern w:val="0"/>
          <w:sz w:val="32"/>
          <w:szCs w:val="32"/>
          <w:highlight w:val="none"/>
        </w:rPr>
        <w:t>《科技支撑安徽创新型市县提升创新能级的对策建议》等咨询报告1篇以上。</w:t>
      </w:r>
    </w:p>
    <w:p w14:paraId="21C12157">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rPr>
      </w:pPr>
      <w:r>
        <w:rPr>
          <w:rFonts w:hint="eastAsia" w:ascii="Times New Roman" w:hAnsi="Times New Roman" w:eastAsia="方正仿宋_GBK"/>
          <w:bCs/>
          <w:color w:val="auto"/>
          <w:kern w:val="0"/>
          <w:sz w:val="32"/>
          <w:szCs w:val="32"/>
          <w:highlight w:val="none"/>
        </w:rPr>
        <w:t>实施期限：202</w:t>
      </w:r>
      <w:r>
        <w:rPr>
          <w:rFonts w:hint="eastAsia" w:ascii="Times New Roman" w:hAnsi="Times New Roman" w:eastAsia="方正仿宋_GBK"/>
          <w:bCs/>
          <w:color w:val="auto"/>
          <w:kern w:val="0"/>
          <w:sz w:val="32"/>
          <w:szCs w:val="32"/>
          <w:highlight w:val="none"/>
          <w:lang w:val="en-US" w:eastAsia="zh-CN"/>
        </w:rPr>
        <w:t>6</w:t>
      </w:r>
      <w:r>
        <w:rPr>
          <w:rFonts w:hint="eastAsia" w:ascii="Times New Roman" w:hAnsi="Times New Roman" w:eastAsia="方正仿宋_GBK"/>
          <w:bCs/>
          <w:color w:val="auto"/>
          <w:kern w:val="0"/>
          <w:sz w:val="32"/>
          <w:szCs w:val="32"/>
          <w:highlight w:val="none"/>
        </w:rPr>
        <w:t>年</w:t>
      </w:r>
      <w:r>
        <w:rPr>
          <w:rFonts w:hint="eastAsia" w:ascii="Times New Roman" w:hAnsi="Times New Roman" w:eastAsia="方正仿宋_GBK"/>
          <w:bCs/>
          <w:color w:val="auto"/>
          <w:kern w:val="0"/>
          <w:sz w:val="32"/>
          <w:szCs w:val="32"/>
          <w:highlight w:val="none"/>
          <w:lang w:val="en-US" w:eastAsia="zh-CN"/>
        </w:rPr>
        <w:t>6</w:t>
      </w:r>
      <w:r>
        <w:rPr>
          <w:rFonts w:hint="eastAsia" w:ascii="Times New Roman" w:hAnsi="Times New Roman" w:eastAsia="方正仿宋_GBK"/>
          <w:bCs/>
          <w:color w:val="auto"/>
          <w:kern w:val="0"/>
          <w:sz w:val="32"/>
          <w:szCs w:val="32"/>
          <w:highlight w:val="none"/>
        </w:rPr>
        <w:t>月前完成</w:t>
      </w:r>
    </w:p>
    <w:p w14:paraId="2BB2047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rPr>
      </w:pPr>
      <w:r>
        <w:rPr>
          <w:rFonts w:hint="eastAsia" w:ascii="Times New Roman" w:hAnsi="Times New Roman" w:eastAsia="方正仿宋_GBK"/>
          <w:bCs/>
          <w:color w:val="auto"/>
          <w:kern w:val="0"/>
          <w:sz w:val="32"/>
          <w:szCs w:val="32"/>
          <w:highlight w:val="none"/>
          <w:lang w:eastAsia="zh-CN"/>
        </w:rPr>
        <w:t>经费额度：不超过</w:t>
      </w:r>
      <w:r>
        <w:rPr>
          <w:rFonts w:hint="eastAsia" w:ascii="Times New Roman" w:hAnsi="Times New Roman" w:eastAsia="方正仿宋_GBK"/>
          <w:bCs/>
          <w:color w:val="auto"/>
          <w:kern w:val="0"/>
          <w:sz w:val="32"/>
          <w:szCs w:val="32"/>
          <w:highlight w:val="none"/>
          <w:lang w:val="en-US" w:eastAsia="zh-CN"/>
        </w:rPr>
        <w:t>20</w:t>
      </w:r>
      <w:r>
        <w:rPr>
          <w:rFonts w:hint="eastAsia" w:ascii="Times New Roman" w:hAnsi="Times New Roman" w:eastAsia="方正仿宋_GBK"/>
          <w:bCs/>
          <w:color w:val="auto"/>
          <w:kern w:val="0"/>
          <w:sz w:val="32"/>
          <w:szCs w:val="32"/>
          <w:highlight w:val="none"/>
        </w:rPr>
        <w:t>万元</w:t>
      </w:r>
    </w:p>
    <w:p w14:paraId="520F2EA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lang w:val="en-US" w:eastAsia="zh-CN"/>
        </w:rPr>
      </w:pPr>
      <w:r>
        <w:rPr>
          <w:rFonts w:hint="eastAsia" w:ascii="Times New Roman" w:hAnsi="Times New Roman" w:eastAsia="方正仿宋_GBK"/>
          <w:bCs/>
          <w:color w:val="auto"/>
          <w:kern w:val="0"/>
          <w:sz w:val="32"/>
          <w:szCs w:val="32"/>
          <w:highlight w:val="none"/>
          <w:lang w:eastAsia="zh-CN"/>
        </w:rPr>
        <w:t>联系人</w:t>
      </w:r>
      <w:r>
        <w:rPr>
          <w:rFonts w:hint="eastAsia" w:ascii="Times New Roman" w:hAnsi="Times New Roman" w:eastAsia="方正仿宋_GBK"/>
          <w:bCs/>
          <w:color w:val="auto"/>
          <w:kern w:val="0"/>
          <w:sz w:val="32"/>
          <w:szCs w:val="32"/>
          <w:highlight w:val="none"/>
        </w:rPr>
        <w:t>：</w:t>
      </w:r>
      <w:r>
        <w:rPr>
          <w:rFonts w:hint="eastAsia" w:ascii="Times New Roman" w:hAnsi="Times New Roman" w:eastAsia="方正仿宋_GBK"/>
          <w:bCs/>
          <w:color w:val="auto"/>
          <w:kern w:val="0"/>
          <w:sz w:val="32"/>
          <w:szCs w:val="32"/>
          <w:highlight w:val="none"/>
          <w:lang w:val="en-US" w:eastAsia="zh-CN"/>
        </w:rPr>
        <w:t>科技改革与政策法规</w:t>
      </w:r>
      <w:r>
        <w:rPr>
          <w:rFonts w:hint="eastAsia" w:ascii="Times New Roman" w:hAnsi="Times New Roman" w:eastAsia="方正仿宋_GBK"/>
          <w:bCs/>
          <w:color w:val="auto"/>
          <w:kern w:val="0"/>
          <w:sz w:val="32"/>
          <w:szCs w:val="32"/>
          <w:highlight w:val="none"/>
        </w:rPr>
        <w:t>处</w:t>
      </w:r>
      <w:r>
        <w:rPr>
          <w:rFonts w:hint="eastAsia" w:ascii="Times New Roman" w:hAnsi="Times New Roman" w:eastAsia="方正仿宋_GBK"/>
          <w:bCs/>
          <w:color w:val="auto"/>
          <w:kern w:val="0"/>
          <w:sz w:val="32"/>
          <w:szCs w:val="32"/>
          <w:highlight w:val="none"/>
          <w:lang w:val="en-US" w:eastAsia="zh-CN"/>
        </w:rPr>
        <w:t xml:space="preserve">   范文涛   0551-62610365</w:t>
      </w:r>
    </w:p>
    <w:p w14:paraId="5E8A83E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eastAsia" w:ascii="Times New Roman" w:hAnsi="Times New Roman" w:eastAsia="黑体" w:cs="黑体"/>
          <w:bCs/>
          <w:color w:val="auto"/>
          <w:kern w:val="0"/>
          <w:sz w:val="32"/>
          <w:szCs w:val="32"/>
          <w:highlight w:val="none"/>
          <w:lang w:eastAsia="zh-CN"/>
        </w:rPr>
      </w:pPr>
      <w:r>
        <w:rPr>
          <w:rFonts w:hint="eastAsia" w:ascii="Times New Roman" w:hAnsi="Times New Roman" w:eastAsia="黑体" w:cs="黑体"/>
          <w:bCs/>
          <w:color w:val="auto"/>
          <w:kern w:val="0"/>
          <w:sz w:val="32"/>
          <w:szCs w:val="32"/>
          <w:highlight w:val="none"/>
          <w:lang w:val="en-US" w:eastAsia="zh-CN"/>
        </w:rPr>
        <w:t>二</w:t>
      </w:r>
      <w:r>
        <w:rPr>
          <w:rFonts w:hint="eastAsia" w:ascii="Times New Roman" w:hAnsi="Times New Roman" w:eastAsia="黑体" w:cs="黑体"/>
          <w:bCs/>
          <w:color w:val="auto"/>
          <w:kern w:val="0"/>
          <w:sz w:val="32"/>
          <w:szCs w:val="32"/>
          <w:highlight w:val="none"/>
          <w:lang w:eastAsia="zh-CN"/>
        </w:rPr>
        <w:t>、未来产业技术发展路径研究</w:t>
      </w:r>
    </w:p>
    <w:p w14:paraId="37996FEE">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lang w:eastAsia="zh-CN"/>
        </w:rPr>
      </w:pPr>
      <w:r>
        <w:rPr>
          <w:rFonts w:ascii="Times New Roman" w:hAnsi="Times New Roman" w:eastAsia="方正仿宋_GBK"/>
          <w:bCs/>
          <w:color w:val="auto"/>
          <w:kern w:val="0"/>
          <w:sz w:val="32"/>
          <w:szCs w:val="32"/>
          <w:highlight w:val="none"/>
        </w:rPr>
        <w:t>研究内容：</w:t>
      </w:r>
      <w:r>
        <w:rPr>
          <w:rFonts w:hint="eastAsia" w:ascii="Times New Roman" w:hAnsi="Times New Roman" w:eastAsia="方正仿宋_GBK"/>
          <w:bCs/>
          <w:color w:val="auto"/>
          <w:kern w:val="0"/>
          <w:sz w:val="32"/>
          <w:szCs w:val="32"/>
          <w:highlight w:val="none"/>
        </w:rPr>
        <w:t>研究美日欧等发达国家以及北京、上海等发达省份未来产业前沿性颠覆性技术攻关有关做法，总结成功案例经验。研究安徽省科技攻关重大项目对相关重点产业发展的推动作用，总结分析前沿性颠覆性技术科技攻关经验和不足，提出对策建议。研究前沿性颠覆性技术发展规律，借鉴国家和外省经验做法，</w:t>
      </w:r>
      <w:r>
        <w:rPr>
          <w:rFonts w:hint="eastAsia" w:ascii="Times New Roman" w:hAnsi="Times New Roman" w:eastAsia="方正仿宋_GBK"/>
          <w:bCs/>
          <w:color w:val="auto"/>
          <w:kern w:val="0"/>
          <w:sz w:val="32"/>
          <w:szCs w:val="32"/>
          <w:highlight w:val="none"/>
          <w:lang w:val="en-US" w:eastAsia="zh-CN"/>
        </w:rPr>
        <w:t>研究提出</w:t>
      </w:r>
      <w:r>
        <w:rPr>
          <w:rFonts w:hint="eastAsia" w:ascii="Times New Roman" w:hAnsi="Times New Roman" w:eastAsia="方正仿宋_GBK"/>
          <w:bCs/>
          <w:color w:val="auto"/>
          <w:kern w:val="0"/>
          <w:sz w:val="32"/>
          <w:szCs w:val="32"/>
          <w:highlight w:val="none"/>
        </w:rPr>
        <w:t>前沿性颠覆性技术发展路径建议和颠覆性技术工作指引，加速培育未来产业。</w:t>
      </w:r>
    </w:p>
    <w:p w14:paraId="1E7610C3">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lang w:eastAsia="zh-CN"/>
        </w:rPr>
      </w:pPr>
      <w:r>
        <w:rPr>
          <w:rFonts w:hint="eastAsia" w:ascii="Times New Roman" w:hAnsi="Times New Roman" w:eastAsia="方正仿宋_GBK"/>
          <w:bCs/>
          <w:color w:val="auto"/>
          <w:kern w:val="0"/>
          <w:sz w:val="32"/>
          <w:szCs w:val="32"/>
          <w:highlight w:val="none"/>
          <w:lang w:eastAsia="zh-CN"/>
        </w:rPr>
        <w:t>预期成果形式：</w:t>
      </w:r>
      <w:r>
        <w:rPr>
          <w:rFonts w:hint="eastAsia" w:ascii="Times New Roman" w:hAnsi="Times New Roman" w:eastAsia="方正仿宋_GBK"/>
          <w:bCs/>
          <w:color w:val="auto"/>
          <w:kern w:val="0"/>
          <w:sz w:val="32"/>
          <w:szCs w:val="32"/>
          <w:highlight w:val="none"/>
          <w:lang w:val="en-US" w:eastAsia="zh-CN"/>
        </w:rPr>
        <w:t>1.安徽省前沿性颠覆性技术攻关进展及对相关重点产业推动情况的评估报告；2.前沿性颠覆性技术方向甄别机制、政策体系构建、产业生态培育等发展路径建议和安徽省颠覆性技术工作指引；3.安徽布局前沿性颠覆性技术的对策建议等决策咨询报告1篇以上。</w:t>
      </w:r>
    </w:p>
    <w:p w14:paraId="4E8C1212">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lang w:eastAsia="zh-CN"/>
        </w:rPr>
      </w:pPr>
      <w:r>
        <w:rPr>
          <w:rFonts w:hint="eastAsia" w:ascii="Times New Roman" w:hAnsi="Times New Roman" w:eastAsia="方正仿宋_GBK"/>
          <w:bCs/>
          <w:color w:val="auto"/>
          <w:kern w:val="0"/>
          <w:sz w:val="32"/>
          <w:szCs w:val="32"/>
          <w:highlight w:val="none"/>
          <w:lang w:eastAsia="zh-CN"/>
        </w:rPr>
        <w:t>实施期限：2026年</w:t>
      </w:r>
      <w:r>
        <w:rPr>
          <w:rFonts w:hint="eastAsia" w:ascii="Times New Roman" w:hAnsi="Times New Roman" w:eastAsia="方正仿宋_GBK"/>
          <w:bCs/>
          <w:color w:val="auto"/>
          <w:kern w:val="0"/>
          <w:sz w:val="32"/>
          <w:szCs w:val="32"/>
          <w:highlight w:val="none"/>
          <w:lang w:val="en-US" w:eastAsia="zh-CN"/>
        </w:rPr>
        <w:t>6</w:t>
      </w:r>
      <w:r>
        <w:rPr>
          <w:rFonts w:hint="eastAsia" w:ascii="Times New Roman" w:hAnsi="Times New Roman" w:eastAsia="方正仿宋_GBK"/>
          <w:bCs/>
          <w:color w:val="auto"/>
          <w:kern w:val="0"/>
          <w:sz w:val="32"/>
          <w:szCs w:val="32"/>
          <w:highlight w:val="none"/>
          <w:lang w:eastAsia="zh-CN"/>
        </w:rPr>
        <w:t>月前完成</w:t>
      </w:r>
    </w:p>
    <w:p w14:paraId="7A2F5DE8">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lang w:eastAsia="zh-CN"/>
        </w:rPr>
      </w:pPr>
      <w:r>
        <w:rPr>
          <w:rFonts w:hint="eastAsia" w:ascii="Times New Roman" w:hAnsi="Times New Roman" w:eastAsia="方正仿宋_GBK"/>
          <w:bCs/>
          <w:color w:val="auto"/>
          <w:kern w:val="0"/>
          <w:sz w:val="32"/>
          <w:szCs w:val="32"/>
          <w:highlight w:val="none"/>
          <w:lang w:eastAsia="zh-CN"/>
        </w:rPr>
        <w:t>经费额度：不超过25万元</w:t>
      </w:r>
    </w:p>
    <w:p w14:paraId="1AEADD2A">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rPr>
      </w:pPr>
      <w:r>
        <w:rPr>
          <w:rFonts w:hint="eastAsia" w:ascii="Times New Roman" w:hAnsi="Times New Roman" w:eastAsia="方正仿宋_GBK"/>
          <w:bCs/>
          <w:color w:val="auto"/>
          <w:kern w:val="0"/>
          <w:sz w:val="32"/>
          <w:szCs w:val="32"/>
          <w:highlight w:val="none"/>
        </w:rPr>
        <w:t>联系人：前沿技术处</w:t>
      </w:r>
      <w:r>
        <w:rPr>
          <w:rFonts w:hint="eastAsia" w:ascii="Times New Roman" w:hAnsi="Times New Roman" w:eastAsia="方正仿宋_GBK"/>
          <w:bCs/>
          <w:color w:val="auto"/>
          <w:kern w:val="0"/>
          <w:sz w:val="32"/>
          <w:szCs w:val="32"/>
          <w:highlight w:val="none"/>
          <w:lang w:val="en-US" w:eastAsia="zh-CN"/>
        </w:rPr>
        <w:t xml:space="preserve">   </w:t>
      </w:r>
      <w:r>
        <w:rPr>
          <w:rFonts w:hint="eastAsia" w:ascii="Times New Roman" w:hAnsi="Times New Roman" w:eastAsia="方正仿宋_GBK"/>
          <w:bCs/>
          <w:color w:val="auto"/>
          <w:kern w:val="0"/>
          <w:sz w:val="32"/>
          <w:szCs w:val="32"/>
          <w:highlight w:val="none"/>
        </w:rPr>
        <w:t>周结华</w:t>
      </w:r>
      <w:r>
        <w:rPr>
          <w:rFonts w:hint="eastAsia" w:ascii="Times New Roman" w:hAnsi="Times New Roman" w:eastAsia="方正仿宋_GBK"/>
          <w:bCs/>
          <w:color w:val="auto"/>
          <w:kern w:val="0"/>
          <w:sz w:val="32"/>
          <w:szCs w:val="32"/>
          <w:highlight w:val="none"/>
          <w:lang w:val="en-US" w:eastAsia="zh-CN"/>
        </w:rPr>
        <w:t xml:space="preserve">   </w:t>
      </w:r>
      <w:r>
        <w:rPr>
          <w:rFonts w:hint="eastAsia" w:ascii="Times New Roman" w:hAnsi="Times New Roman" w:eastAsia="方正仿宋_GBK"/>
          <w:bCs/>
          <w:color w:val="auto"/>
          <w:kern w:val="0"/>
          <w:sz w:val="32"/>
          <w:szCs w:val="32"/>
          <w:highlight w:val="none"/>
        </w:rPr>
        <w:t>0551-62610321</w:t>
      </w:r>
    </w:p>
    <w:p w14:paraId="73A42D8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eastAsia" w:ascii="Times New Roman" w:hAnsi="Times New Roman" w:eastAsia="黑体" w:cs="黑体"/>
          <w:bCs/>
          <w:kern w:val="0"/>
          <w:sz w:val="32"/>
          <w:szCs w:val="32"/>
          <w:lang w:eastAsia="zh-CN"/>
        </w:rPr>
      </w:pPr>
      <w:r>
        <w:rPr>
          <w:rFonts w:hint="eastAsia" w:ascii="Times New Roman" w:hAnsi="Times New Roman" w:eastAsia="黑体" w:cs="黑体"/>
          <w:bCs/>
          <w:kern w:val="0"/>
          <w:sz w:val="32"/>
          <w:szCs w:val="32"/>
          <w:lang w:val="en-US" w:eastAsia="zh-CN"/>
        </w:rPr>
        <w:t>三</w:t>
      </w:r>
      <w:r>
        <w:rPr>
          <w:rFonts w:hint="eastAsia" w:ascii="Times New Roman" w:hAnsi="Times New Roman" w:eastAsia="黑体" w:cs="黑体"/>
          <w:bCs/>
          <w:kern w:val="0"/>
          <w:sz w:val="32"/>
          <w:szCs w:val="32"/>
          <w:lang w:eastAsia="zh-CN"/>
        </w:rPr>
        <w:t>、安徽省人工智能产业管理机制与开放发展研究</w:t>
      </w:r>
    </w:p>
    <w:p w14:paraId="42C99AA3">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ascii="Times New Roman" w:hAnsi="Times New Roman" w:eastAsia="方正仿宋_GBK"/>
          <w:bCs/>
          <w:color w:val="auto"/>
          <w:kern w:val="0"/>
          <w:sz w:val="32"/>
          <w:szCs w:val="32"/>
        </w:rPr>
        <w:t>研究内容：</w:t>
      </w:r>
      <w:r>
        <w:rPr>
          <w:rFonts w:hint="eastAsia" w:ascii="Times New Roman" w:hAnsi="Times New Roman" w:eastAsia="方正仿宋_GBK"/>
          <w:bCs/>
          <w:color w:val="auto"/>
          <w:kern w:val="0"/>
          <w:sz w:val="32"/>
          <w:szCs w:val="32"/>
        </w:rPr>
        <w:t>系统梳理安徽省人工智能产业推进与管理的已有基础和存在短板，从人工智能场景、技术、体制机制等角度，分析研判产业发展新趋势、新范式，研究可能存在的潜在风险，围绕建设人工智能产业高能级开放创新平台研究省内外先进经验，探索创新平台开放机制，研究提出政策支撑、要素保障等方面政策建议。</w:t>
      </w:r>
    </w:p>
    <w:p w14:paraId="19343F3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预期成果形式：1.</w:t>
      </w:r>
      <w:r>
        <w:rPr>
          <w:rFonts w:hint="eastAsia" w:ascii="Times New Roman" w:hAnsi="Times New Roman" w:eastAsia="方正仿宋_GBK"/>
          <w:bCs/>
          <w:color w:val="auto"/>
          <w:kern w:val="0"/>
          <w:sz w:val="32"/>
          <w:szCs w:val="32"/>
          <w:lang w:val="en-US" w:eastAsia="zh-CN"/>
        </w:rPr>
        <w:t>课题</w:t>
      </w:r>
      <w:r>
        <w:rPr>
          <w:rFonts w:hint="eastAsia" w:ascii="Times New Roman" w:hAnsi="Times New Roman" w:eastAsia="方正仿宋_GBK"/>
          <w:bCs/>
          <w:color w:val="auto"/>
          <w:kern w:val="0"/>
          <w:sz w:val="32"/>
          <w:szCs w:val="32"/>
        </w:rPr>
        <w:t>研究报告1个；2.相关决策建议报告不少于2个。</w:t>
      </w:r>
    </w:p>
    <w:p w14:paraId="05A0A9BC">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实施期限：202</w:t>
      </w:r>
      <w:r>
        <w:rPr>
          <w:rFonts w:hint="eastAsia" w:ascii="Times New Roman" w:hAnsi="Times New Roman" w:eastAsia="方正仿宋_GBK"/>
          <w:bCs/>
          <w:color w:val="auto"/>
          <w:kern w:val="0"/>
          <w:sz w:val="32"/>
          <w:szCs w:val="32"/>
          <w:lang w:val="en-US" w:eastAsia="zh-CN"/>
        </w:rPr>
        <w:t>6</w:t>
      </w:r>
      <w:r>
        <w:rPr>
          <w:rFonts w:hint="eastAsia" w:ascii="Times New Roman" w:hAnsi="Times New Roman" w:eastAsia="方正仿宋_GBK"/>
          <w:bCs/>
          <w:color w:val="auto"/>
          <w:kern w:val="0"/>
          <w:sz w:val="32"/>
          <w:szCs w:val="32"/>
        </w:rPr>
        <w:t>年</w:t>
      </w:r>
      <w:r>
        <w:rPr>
          <w:rFonts w:hint="eastAsia" w:ascii="Times New Roman" w:hAnsi="Times New Roman" w:eastAsia="方正仿宋_GBK"/>
          <w:bCs/>
          <w:color w:val="auto"/>
          <w:kern w:val="0"/>
          <w:sz w:val="32"/>
          <w:szCs w:val="32"/>
          <w:lang w:val="en-US" w:eastAsia="zh-CN"/>
        </w:rPr>
        <w:t>6</w:t>
      </w:r>
      <w:r>
        <w:rPr>
          <w:rFonts w:hint="eastAsia" w:ascii="Times New Roman" w:hAnsi="Times New Roman" w:eastAsia="方正仿宋_GBK"/>
          <w:bCs/>
          <w:color w:val="auto"/>
          <w:kern w:val="0"/>
          <w:sz w:val="32"/>
          <w:szCs w:val="32"/>
        </w:rPr>
        <w:t>月前完成</w:t>
      </w:r>
    </w:p>
    <w:p w14:paraId="5923382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lang w:eastAsia="zh-CN"/>
        </w:rPr>
        <w:t>经费额度：不超过</w:t>
      </w:r>
      <w:r>
        <w:rPr>
          <w:rFonts w:hint="eastAsia" w:ascii="Times New Roman" w:hAnsi="Times New Roman" w:eastAsia="方正仿宋_GBK"/>
          <w:bCs/>
          <w:color w:val="auto"/>
          <w:kern w:val="0"/>
          <w:sz w:val="32"/>
          <w:szCs w:val="32"/>
          <w:lang w:val="en-US" w:eastAsia="zh-CN"/>
        </w:rPr>
        <w:t>10</w:t>
      </w:r>
      <w:r>
        <w:rPr>
          <w:rFonts w:hint="eastAsia" w:ascii="Times New Roman" w:hAnsi="Times New Roman" w:eastAsia="方正仿宋_GBK"/>
          <w:bCs/>
          <w:color w:val="auto"/>
          <w:kern w:val="0"/>
          <w:sz w:val="32"/>
          <w:szCs w:val="32"/>
        </w:rPr>
        <w:t>万元</w:t>
      </w:r>
    </w:p>
    <w:p w14:paraId="0101568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lang w:val="en-US" w:eastAsia="zh-CN"/>
        </w:rPr>
      </w:pPr>
      <w:r>
        <w:rPr>
          <w:rFonts w:hint="eastAsia" w:ascii="Times New Roman" w:hAnsi="Times New Roman" w:eastAsia="方正仿宋_GBK"/>
          <w:bCs/>
          <w:color w:val="auto"/>
          <w:kern w:val="0"/>
          <w:sz w:val="32"/>
          <w:szCs w:val="32"/>
          <w:lang w:eastAsia="zh-CN"/>
        </w:rPr>
        <w:t>联系人</w:t>
      </w:r>
      <w:r>
        <w:rPr>
          <w:rFonts w:hint="eastAsia" w:ascii="Times New Roman" w:hAnsi="Times New Roman" w:eastAsia="方正仿宋_GBK"/>
          <w:bCs/>
          <w:color w:val="auto"/>
          <w:kern w:val="0"/>
          <w:sz w:val="32"/>
          <w:szCs w:val="32"/>
        </w:rPr>
        <w:t>：</w:t>
      </w:r>
      <w:r>
        <w:rPr>
          <w:rFonts w:hint="eastAsia" w:ascii="Times New Roman" w:hAnsi="Times New Roman" w:eastAsia="方正仿宋_GBK"/>
          <w:bCs/>
          <w:color w:val="auto"/>
          <w:kern w:val="0"/>
          <w:sz w:val="32"/>
          <w:szCs w:val="32"/>
          <w:lang w:val="en-US" w:eastAsia="zh-CN"/>
        </w:rPr>
        <w:t>人工智能科学技术处   许石君   0551-62653528</w:t>
      </w:r>
    </w:p>
    <w:p w14:paraId="5C7CE9AA">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eastAsia" w:ascii="Times New Roman" w:hAnsi="Times New Roman" w:eastAsia="黑体" w:cs="黑体"/>
          <w:bCs/>
          <w:color w:val="auto"/>
          <w:kern w:val="0"/>
          <w:sz w:val="32"/>
          <w:szCs w:val="32"/>
          <w:lang w:eastAsia="zh-CN"/>
        </w:rPr>
      </w:pPr>
      <w:r>
        <w:rPr>
          <w:rFonts w:hint="eastAsia" w:ascii="Times New Roman" w:hAnsi="Times New Roman" w:eastAsia="黑体" w:cs="黑体"/>
          <w:bCs/>
          <w:color w:val="auto"/>
          <w:kern w:val="0"/>
          <w:sz w:val="32"/>
          <w:szCs w:val="32"/>
          <w:lang w:val="en-US" w:eastAsia="zh-CN"/>
        </w:rPr>
        <w:t>四</w:t>
      </w:r>
      <w:r>
        <w:rPr>
          <w:rFonts w:hint="eastAsia" w:ascii="Times New Roman" w:hAnsi="Times New Roman" w:eastAsia="黑体" w:cs="黑体"/>
          <w:bCs/>
          <w:color w:val="auto"/>
          <w:kern w:val="0"/>
          <w:sz w:val="32"/>
          <w:szCs w:val="32"/>
          <w:lang w:eastAsia="zh-CN"/>
        </w:rPr>
        <w:t>、安徽省“十五五”生命科学未来产业发展研究</w:t>
      </w:r>
    </w:p>
    <w:p w14:paraId="2299E07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研究内容：分析国际、国内生命科学未来产业发展现状及趋势，全面摸底安徽省生命科学产业底数，梳理安徽省生命科学未来产业发展面临的国内外环境，制定相关重点产业底数清单和产业链图谱，研判安徽省生命科学未来产业发展面临的机遇与挑战，提出安徽省“十五五”生命科学未来产业的发展思路、主要目标和重点领域，明确发展方向以及重大工程、重大项目、重大平台等重点任务，并提出具体的发展路径与支持举措。</w:t>
      </w:r>
      <w:r>
        <w:rPr>
          <w:rFonts w:hint="eastAsia" w:ascii="Times New Roman" w:hAnsi="Times New Roman" w:eastAsia="方正仿宋_GBK"/>
          <w:bCs/>
          <w:color w:val="auto"/>
          <w:kern w:val="0"/>
          <w:sz w:val="32"/>
          <w:szCs w:val="32"/>
          <w:lang w:val="en-US" w:eastAsia="zh-CN"/>
        </w:rPr>
        <w:t>最终</w:t>
      </w:r>
      <w:r>
        <w:rPr>
          <w:rFonts w:hint="eastAsia" w:ascii="Times New Roman" w:hAnsi="Times New Roman" w:eastAsia="方正仿宋_GBK"/>
          <w:bCs/>
          <w:color w:val="auto"/>
          <w:kern w:val="0"/>
          <w:sz w:val="32"/>
          <w:szCs w:val="32"/>
        </w:rPr>
        <w:t>形成安徽省“十五五”生命科学未来产业发展规划和行动方案，为省委省政府相关规划提供参考。</w:t>
      </w:r>
    </w:p>
    <w:p w14:paraId="59A7BD1E">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lang w:eastAsia="zh-CN"/>
        </w:rPr>
      </w:pPr>
      <w:r>
        <w:rPr>
          <w:rFonts w:hint="eastAsia" w:ascii="Times New Roman" w:hAnsi="Times New Roman" w:eastAsia="方正仿宋_GBK"/>
          <w:bCs/>
          <w:color w:val="auto"/>
          <w:kern w:val="0"/>
          <w:sz w:val="32"/>
          <w:szCs w:val="32"/>
        </w:rPr>
        <w:t>预期成果形式：1.编制安徽省生命科学底数清单和产业链图谱；2.安徽省“十五五”生命科学未来产业发展规划；3.编制安徽省生命科学未来产业发展相关行动方案</w:t>
      </w:r>
      <w:r>
        <w:rPr>
          <w:rFonts w:hint="eastAsia" w:ascii="Times New Roman" w:hAnsi="Times New Roman" w:eastAsia="方正仿宋_GBK"/>
          <w:bCs/>
          <w:color w:val="auto"/>
          <w:kern w:val="0"/>
          <w:sz w:val="32"/>
          <w:szCs w:val="32"/>
          <w:lang w:eastAsia="zh-CN"/>
        </w:rPr>
        <w:t>；</w:t>
      </w:r>
      <w:r>
        <w:rPr>
          <w:rFonts w:hint="eastAsia" w:ascii="Times New Roman" w:hAnsi="Times New Roman" w:eastAsia="方正仿宋_GBK"/>
          <w:bCs/>
          <w:color w:val="auto"/>
          <w:kern w:val="0"/>
          <w:sz w:val="32"/>
          <w:szCs w:val="32"/>
          <w:highlight w:val="none"/>
          <w:lang w:val="en-US" w:eastAsia="zh-CN"/>
        </w:rPr>
        <w:t>4</w:t>
      </w:r>
      <w:r>
        <w:rPr>
          <w:rFonts w:hint="eastAsia" w:ascii="Times New Roman" w:hAnsi="Times New Roman" w:eastAsia="方正仿宋_GBK"/>
          <w:bCs/>
          <w:color w:val="auto"/>
          <w:kern w:val="0"/>
          <w:sz w:val="32"/>
          <w:szCs w:val="32"/>
          <w:highlight w:val="none"/>
          <w:lang w:eastAsia="zh-CN"/>
        </w:rPr>
        <w:t>.</w:t>
      </w:r>
      <w:r>
        <w:rPr>
          <w:rFonts w:hint="eastAsia" w:ascii="Times New Roman" w:hAnsi="Times New Roman" w:eastAsia="方正仿宋_GBK"/>
          <w:bCs/>
          <w:color w:val="auto"/>
          <w:kern w:val="0"/>
          <w:sz w:val="32"/>
          <w:szCs w:val="32"/>
          <w:highlight w:val="none"/>
          <w:lang w:val="en-US" w:eastAsia="zh-CN"/>
        </w:rPr>
        <w:t>相关决策咨询报告1篇以上</w:t>
      </w:r>
      <w:r>
        <w:rPr>
          <w:rFonts w:hint="eastAsia" w:ascii="Times New Roman" w:hAnsi="Times New Roman" w:eastAsia="方正仿宋_GBK"/>
          <w:bCs/>
          <w:color w:val="auto"/>
          <w:kern w:val="0"/>
          <w:sz w:val="32"/>
          <w:szCs w:val="32"/>
          <w:highlight w:val="none"/>
          <w:lang w:eastAsia="zh-CN"/>
        </w:rPr>
        <w:t>。</w:t>
      </w:r>
    </w:p>
    <w:p w14:paraId="276A8D2E">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实施期限：2026年6月前完成</w:t>
      </w:r>
    </w:p>
    <w:p w14:paraId="4D05A22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lang w:eastAsia="zh-CN"/>
        </w:rPr>
        <w:t>经费额度：不超过</w:t>
      </w:r>
      <w:r>
        <w:rPr>
          <w:rFonts w:hint="eastAsia" w:ascii="Times New Roman" w:hAnsi="Times New Roman" w:eastAsia="方正仿宋_GBK"/>
          <w:bCs/>
          <w:color w:val="auto"/>
          <w:kern w:val="0"/>
          <w:sz w:val="32"/>
          <w:szCs w:val="32"/>
        </w:rPr>
        <w:t>35万元</w:t>
      </w:r>
    </w:p>
    <w:p w14:paraId="65890587">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lang w:val="en-US" w:eastAsia="zh-CN"/>
        </w:rPr>
      </w:pPr>
      <w:r>
        <w:rPr>
          <w:rFonts w:hint="eastAsia" w:ascii="Times New Roman" w:hAnsi="Times New Roman" w:eastAsia="方正仿宋_GBK"/>
          <w:bCs/>
          <w:color w:val="auto"/>
          <w:kern w:val="0"/>
          <w:sz w:val="32"/>
          <w:szCs w:val="32"/>
        </w:rPr>
        <w:t xml:space="preserve">联系人：生命科学技术处   许应媛 </w:t>
      </w:r>
      <w:r>
        <w:rPr>
          <w:rFonts w:hint="eastAsia" w:ascii="Times New Roman" w:hAnsi="Times New Roman" w:eastAsia="方正仿宋_GBK"/>
          <w:bCs/>
          <w:color w:val="auto"/>
          <w:kern w:val="0"/>
          <w:sz w:val="32"/>
          <w:szCs w:val="32"/>
          <w:lang w:val="en-US" w:eastAsia="zh-CN"/>
        </w:rPr>
        <w:t xml:space="preserve"> </w:t>
      </w:r>
      <w:r>
        <w:rPr>
          <w:rFonts w:hint="eastAsia" w:ascii="Times New Roman" w:hAnsi="Times New Roman" w:eastAsia="方正仿宋_GBK"/>
          <w:bCs/>
          <w:color w:val="auto"/>
          <w:kern w:val="0"/>
          <w:sz w:val="32"/>
          <w:szCs w:val="32"/>
        </w:rPr>
        <w:t xml:space="preserve"> 0551-62678552</w:t>
      </w:r>
    </w:p>
    <w:p w14:paraId="2676442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0"/>
        <w:rPr>
          <w:rFonts w:hint="eastAsia" w:ascii="Times New Roman" w:hAnsi="Times New Roman" w:eastAsia="黑体" w:cs="黑体"/>
          <w:bCs/>
          <w:color w:val="auto"/>
          <w:kern w:val="0"/>
          <w:sz w:val="32"/>
          <w:szCs w:val="32"/>
          <w:lang w:eastAsia="zh-CN"/>
        </w:rPr>
      </w:pPr>
      <w:r>
        <w:rPr>
          <w:rFonts w:hint="eastAsia" w:ascii="Times New Roman" w:hAnsi="Times New Roman" w:eastAsia="黑体" w:cs="黑体"/>
          <w:bCs/>
          <w:color w:val="auto"/>
          <w:kern w:val="0"/>
          <w:sz w:val="32"/>
          <w:szCs w:val="32"/>
          <w:lang w:val="en-US" w:eastAsia="zh-CN"/>
        </w:rPr>
        <w:t>五</w:t>
      </w:r>
      <w:r>
        <w:rPr>
          <w:rFonts w:hint="eastAsia" w:ascii="Times New Roman" w:hAnsi="Times New Roman" w:eastAsia="黑体" w:cs="黑体"/>
          <w:bCs/>
          <w:color w:val="auto"/>
          <w:kern w:val="0"/>
          <w:sz w:val="32"/>
          <w:szCs w:val="32"/>
          <w:lang w:eastAsia="zh-CN"/>
        </w:rPr>
        <w:t>、数智赋能的中医药服务体系治理研究</w:t>
      </w:r>
    </w:p>
    <w:p w14:paraId="15CED98D">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研究内容：梳理安徽中医药服务体系数字化现状、问题。研究数智赋能安徽中医药服务体系提升的思路、主要目标和聚焦领域。研究提出通过数智化平台推动中医药服务能力提升、全链条服务模式智慧化，实现中医药数字治理水平提升的路径；为安徽中医药服务体系治理提出对策建议。</w:t>
      </w:r>
    </w:p>
    <w:p w14:paraId="75C740B5">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预期成果形式：1.《数智赋能的安徽中医药服务体系治理研究报告》；2.《数智赋能的安徽中医药服务体系治理对策建议》</w:t>
      </w:r>
      <w:r>
        <w:rPr>
          <w:rFonts w:hint="eastAsia" w:ascii="Times New Roman" w:hAnsi="Times New Roman" w:eastAsia="方正仿宋_GBK"/>
          <w:bCs/>
          <w:color w:val="auto"/>
          <w:kern w:val="0"/>
          <w:sz w:val="32"/>
          <w:szCs w:val="32"/>
          <w:lang w:val="en-US" w:eastAsia="zh-CN"/>
        </w:rPr>
        <w:t>等咨询报告</w:t>
      </w:r>
      <w:r>
        <w:rPr>
          <w:rFonts w:hint="eastAsia" w:ascii="Times New Roman" w:hAnsi="Times New Roman" w:eastAsia="方正仿宋_GBK"/>
          <w:bCs/>
          <w:color w:val="auto"/>
          <w:kern w:val="0"/>
          <w:sz w:val="32"/>
          <w:szCs w:val="32"/>
        </w:rPr>
        <w:t>。</w:t>
      </w:r>
    </w:p>
    <w:p w14:paraId="466CCF8D">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实施期限：2026年6月前完成</w:t>
      </w:r>
    </w:p>
    <w:p w14:paraId="420C7DF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lang w:eastAsia="zh-CN"/>
        </w:rPr>
        <w:t>经费额度：不超过</w:t>
      </w:r>
      <w:r>
        <w:rPr>
          <w:rFonts w:hint="eastAsia" w:ascii="Times New Roman" w:hAnsi="Times New Roman" w:eastAsia="方正仿宋_GBK"/>
          <w:bCs/>
          <w:color w:val="auto"/>
          <w:kern w:val="0"/>
          <w:sz w:val="32"/>
          <w:szCs w:val="32"/>
        </w:rPr>
        <w:t>10万元</w:t>
      </w:r>
    </w:p>
    <w:p w14:paraId="1FB4E112">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 xml:space="preserve">联系人：生命科学技术处  </w:t>
      </w:r>
      <w:r>
        <w:rPr>
          <w:rFonts w:hint="eastAsia" w:ascii="Times New Roman" w:hAnsi="Times New Roman" w:eastAsia="方正仿宋_GBK"/>
          <w:bCs/>
          <w:color w:val="auto"/>
          <w:kern w:val="0"/>
          <w:sz w:val="32"/>
          <w:szCs w:val="32"/>
          <w:lang w:val="en-US" w:eastAsia="zh-CN"/>
        </w:rPr>
        <w:t xml:space="preserve"> </w:t>
      </w:r>
      <w:r>
        <w:rPr>
          <w:rFonts w:hint="eastAsia" w:ascii="Times New Roman" w:hAnsi="Times New Roman" w:eastAsia="方正仿宋_GBK"/>
          <w:bCs/>
          <w:color w:val="auto"/>
          <w:kern w:val="0"/>
          <w:sz w:val="32"/>
          <w:szCs w:val="32"/>
        </w:rPr>
        <w:t xml:space="preserve">李硕 </w:t>
      </w:r>
      <w:r>
        <w:rPr>
          <w:rFonts w:hint="eastAsia" w:ascii="Times New Roman" w:hAnsi="Times New Roman" w:eastAsia="方正仿宋_GBK"/>
          <w:bCs/>
          <w:color w:val="auto"/>
          <w:kern w:val="0"/>
          <w:sz w:val="32"/>
          <w:szCs w:val="32"/>
          <w:lang w:val="en-US" w:eastAsia="zh-CN"/>
        </w:rPr>
        <w:t xml:space="preserve"> </w:t>
      </w:r>
      <w:r>
        <w:rPr>
          <w:rFonts w:hint="eastAsia" w:ascii="Times New Roman" w:hAnsi="Times New Roman" w:eastAsia="方正仿宋_GBK"/>
          <w:bCs/>
          <w:color w:val="auto"/>
          <w:kern w:val="0"/>
          <w:sz w:val="32"/>
          <w:szCs w:val="32"/>
        </w:rPr>
        <w:t xml:space="preserve"> 0551-62636650</w:t>
      </w:r>
    </w:p>
    <w:p w14:paraId="73861C1E">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0"/>
        <w:rPr>
          <w:rFonts w:hint="eastAsia" w:ascii="Times New Roman" w:hAnsi="Times New Roman" w:eastAsia="黑体" w:cs="黑体"/>
          <w:bCs/>
          <w:kern w:val="0"/>
          <w:sz w:val="32"/>
          <w:szCs w:val="32"/>
          <w:lang w:eastAsia="zh-CN"/>
        </w:rPr>
      </w:pPr>
      <w:r>
        <w:rPr>
          <w:rFonts w:hint="eastAsia" w:ascii="Times New Roman" w:hAnsi="Times New Roman" w:eastAsia="黑体" w:cs="黑体"/>
          <w:bCs/>
          <w:kern w:val="0"/>
          <w:sz w:val="32"/>
          <w:szCs w:val="32"/>
          <w:lang w:eastAsia="zh-CN"/>
        </w:rPr>
        <w:t>六、有效发挥高能级科创平台作用机制和政策研究</w:t>
      </w:r>
    </w:p>
    <w:p w14:paraId="2F32F96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lang w:eastAsia="zh-CN"/>
        </w:rPr>
      </w:pPr>
      <w:r>
        <w:rPr>
          <w:rFonts w:ascii="Times New Roman" w:hAnsi="Times New Roman" w:eastAsia="方正仿宋_GBK"/>
          <w:bCs/>
          <w:color w:val="auto"/>
          <w:kern w:val="0"/>
          <w:sz w:val="32"/>
          <w:szCs w:val="32"/>
        </w:rPr>
        <w:t>研究内容：</w:t>
      </w:r>
      <w:r>
        <w:rPr>
          <w:rFonts w:hint="eastAsia" w:ascii="Times New Roman" w:hAnsi="Times New Roman" w:eastAsia="方正仿宋_GBK"/>
          <w:bCs/>
          <w:color w:val="auto"/>
          <w:kern w:val="0"/>
          <w:sz w:val="32"/>
          <w:szCs w:val="32"/>
          <w:lang w:eastAsia="zh-CN"/>
        </w:rPr>
        <w:t>安徽省科创平台体系重塑路径研究；安徽省高能级科创平台统筹布局管理机制研究；安徽省高能级科创平台分类评价机制研究；安徽省高能级科创平台系统性分类支持政策研究。</w:t>
      </w:r>
    </w:p>
    <w:p w14:paraId="663C0334">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lang w:eastAsia="zh-CN"/>
        </w:rPr>
      </w:pPr>
      <w:r>
        <w:rPr>
          <w:rFonts w:hint="eastAsia" w:ascii="Times New Roman" w:hAnsi="Times New Roman" w:eastAsia="方正仿宋_GBK"/>
          <w:bCs/>
          <w:color w:val="auto"/>
          <w:kern w:val="0"/>
          <w:sz w:val="32"/>
          <w:szCs w:val="32"/>
          <w:lang w:eastAsia="zh-CN"/>
        </w:rPr>
        <w:t>预期成果形式：1.《有效发挥高能级科创平台作用机制和政策研究报告》及相关顶层设计文件建议稿；2.《全省科创平台体系重塑研究报告》及相关建议稿；3.《加强高能级科创平台统筹管理布局研究报告》及相关建议稿；4.《高能级科创平台分类评价研究报告》及评价办法建议稿；5.《高能级科创平台分类支持政策研究报告》及政策建议稿。</w:t>
      </w:r>
    </w:p>
    <w:p w14:paraId="269EA82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实施期限：202</w:t>
      </w:r>
      <w:r>
        <w:rPr>
          <w:rFonts w:hint="eastAsia" w:ascii="Times New Roman" w:hAnsi="Times New Roman" w:eastAsia="方正仿宋_GBK"/>
          <w:bCs/>
          <w:color w:val="auto"/>
          <w:kern w:val="0"/>
          <w:sz w:val="32"/>
          <w:szCs w:val="32"/>
          <w:lang w:val="en-US" w:eastAsia="zh-CN"/>
        </w:rPr>
        <w:t>6</w:t>
      </w:r>
      <w:r>
        <w:rPr>
          <w:rFonts w:hint="eastAsia" w:ascii="Times New Roman" w:hAnsi="Times New Roman" w:eastAsia="方正仿宋_GBK"/>
          <w:bCs/>
          <w:color w:val="auto"/>
          <w:kern w:val="0"/>
          <w:sz w:val="32"/>
          <w:szCs w:val="32"/>
        </w:rPr>
        <w:t>年</w:t>
      </w:r>
      <w:r>
        <w:rPr>
          <w:rFonts w:hint="eastAsia" w:ascii="Times New Roman" w:hAnsi="Times New Roman" w:eastAsia="方正仿宋_GBK"/>
          <w:bCs/>
          <w:color w:val="auto"/>
          <w:kern w:val="0"/>
          <w:sz w:val="32"/>
          <w:szCs w:val="32"/>
          <w:lang w:val="en-US" w:eastAsia="zh-CN"/>
        </w:rPr>
        <w:t>6</w:t>
      </w:r>
      <w:r>
        <w:rPr>
          <w:rFonts w:hint="eastAsia" w:ascii="Times New Roman" w:hAnsi="Times New Roman" w:eastAsia="方正仿宋_GBK"/>
          <w:bCs/>
          <w:color w:val="auto"/>
          <w:kern w:val="0"/>
          <w:sz w:val="32"/>
          <w:szCs w:val="32"/>
        </w:rPr>
        <w:t>月前完成</w:t>
      </w:r>
    </w:p>
    <w:p w14:paraId="1469821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lang w:eastAsia="zh-CN"/>
        </w:rPr>
        <w:t>经费额度：不超过</w:t>
      </w:r>
      <w:r>
        <w:rPr>
          <w:rFonts w:hint="eastAsia" w:ascii="Times New Roman" w:hAnsi="Times New Roman" w:eastAsia="方正仿宋_GBK"/>
          <w:bCs/>
          <w:color w:val="auto"/>
          <w:kern w:val="0"/>
          <w:sz w:val="32"/>
          <w:szCs w:val="32"/>
          <w:lang w:val="en-US" w:eastAsia="zh-CN"/>
        </w:rPr>
        <w:t>35</w:t>
      </w:r>
      <w:r>
        <w:rPr>
          <w:rFonts w:hint="eastAsia" w:ascii="Times New Roman" w:hAnsi="Times New Roman" w:eastAsia="方正仿宋_GBK"/>
          <w:bCs/>
          <w:color w:val="auto"/>
          <w:kern w:val="0"/>
          <w:sz w:val="32"/>
          <w:szCs w:val="32"/>
        </w:rPr>
        <w:t>万元</w:t>
      </w:r>
    </w:p>
    <w:p w14:paraId="3D8FC817">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lang w:val="en-US" w:eastAsia="zh-CN"/>
        </w:rPr>
      </w:pPr>
      <w:r>
        <w:rPr>
          <w:rFonts w:hint="eastAsia" w:ascii="Times New Roman" w:hAnsi="Times New Roman" w:eastAsia="方正仿宋_GBK"/>
          <w:bCs/>
          <w:color w:val="auto"/>
          <w:kern w:val="0"/>
          <w:sz w:val="32"/>
          <w:szCs w:val="32"/>
          <w:lang w:val="en-US" w:eastAsia="zh-CN"/>
        </w:rPr>
        <w:t xml:space="preserve">联系人：科技创新平台建设处   吴量   0551-62616083 </w:t>
      </w:r>
    </w:p>
    <w:p w14:paraId="66B9A677">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0"/>
        <w:rPr>
          <w:rFonts w:hint="default" w:ascii="Times New Roman" w:hAnsi="Times New Roman" w:eastAsia="黑体" w:cs="黑体"/>
          <w:bCs/>
          <w:kern w:val="0"/>
          <w:sz w:val="32"/>
          <w:szCs w:val="32"/>
          <w:highlight w:val="none"/>
          <w:lang w:val="en-US" w:eastAsia="zh-CN"/>
        </w:rPr>
      </w:pPr>
      <w:r>
        <w:rPr>
          <w:rFonts w:hint="eastAsia" w:ascii="Times New Roman" w:hAnsi="Times New Roman" w:eastAsia="黑体" w:cs="黑体"/>
          <w:bCs/>
          <w:kern w:val="0"/>
          <w:sz w:val="32"/>
          <w:szCs w:val="32"/>
          <w:highlight w:val="none"/>
          <w:lang w:eastAsia="zh-CN"/>
        </w:rPr>
        <w:t>七、增强创新资源配置能力，构建安徽省全方位多维度科技招引体系</w:t>
      </w:r>
      <w:r>
        <w:rPr>
          <w:rFonts w:hint="eastAsia" w:ascii="Times New Roman" w:hAnsi="Times New Roman" w:eastAsia="黑体" w:cs="黑体"/>
          <w:bCs/>
          <w:kern w:val="0"/>
          <w:sz w:val="32"/>
          <w:szCs w:val="32"/>
          <w:highlight w:val="none"/>
          <w:lang w:val="en-US" w:eastAsia="zh-CN"/>
        </w:rPr>
        <w:t>研究</w:t>
      </w:r>
    </w:p>
    <w:p w14:paraId="57676BF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rPr>
      </w:pPr>
      <w:r>
        <w:rPr>
          <w:rFonts w:hint="eastAsia" w:ascii="Times New Roman" w:hAnsi="Times New Roman" w:eastAsia="方正仿宋_GBK"/>
          <w:bCs/>
          <w:color w:val="auto"/>
          <w:kern w:val="0"/>
          <w:sz w:val="32"/>
          <w:szCs w:val="32"/>
          <w:highlight w:val="none"/>
        </w:rPr>
        <w:t>研究内容：分析安徽省在科技招商方面的现有基础和优势，探讨通过团队、平台、项目、飞地四大方向以及构建省、市、县三级联动机制进行科技招商，围绕我省高校院所行品牌活动、对接上海“五个中心”建设，研究如何通过国际合作和国内资源整合，探讨建立科技招商一揽子政策举措，引进高端人才、加强联合攻关、共建合作平台、创造良好生态。</w:t>
      </w:r>
    </w:p>
    <w:p w14:paraId="75686B8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rPr>
      </w:pPr>
      <w:r>
        <w:rPr>
          <w:rFonts w:hint="eastAsia" w:ascii="Times New Roman" w:hAnsi="Times New Roman" w:eastAsia="方正仿宋_GBK"/>
          <w:bCs/>
          <w:color w:val="auto"/>
          <w:kern w:val="0"/>
          <w:sz w:val="32"/>
          <w:szCs w:val="32"/>
          <w:highlight w:val="none"/>
        </w:rPr>
        <w:t>预期成果形式：1.构建安徽省全方位多维度科技招商体系研究报告和科技团队招引政策建议；2.增强安徽跨区域跨境创新资源配置能力的战略路径研究；3.科技团队在皖创新创业发展报告（案例分析）；4.安徽省长三角科技协同创新路径研究</w:t>
      </w:r>
      <w:r>
        <w:rPr>
          <w:rFonts w:hint="eastAsia" w:ascii="Times New Roman" w:hAnsi="Times New Roman" w:eastAsia="方正仿宋_GBK"/>
          <w:bCs/>
          <w:color w:val="auto"/>
          <w:kern w:val="0"/>
          <w:sz w:val="32"/>
          <w:szCs w:val="32"/>
          <w:highlight w:val="none"/>
          <w:lang w:eastAsia="zh-CN"/>
        </w:rPr>
        <w:t>——</w:t>
      </w:r>
      <w:r>
        <w:rPr>
          <w:rFonts w:hint="eastAsia" w:ascii="Times New Roman" w:hAnsi="Times New Roman" w:eastAsia="方正仿宋_GBK"/>
          <w:bCs/>
          <w:color w:val="auto"/>
          <w:kern w:val="0"/>
          <w:sz w:val="32"/>
          <w:szCs w:val="32"/>
          <w:highlight w:val="none"/>
        </w:rPr>
        <w:t>以高校院所行活动为例；5.安徽推进高水平“创新飞地”建设成效和支持举措建议。</w:t>
      </w:r>
    </w:p>
    <w:p w14:paraId="7B42FE92">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rPr>
      </w:pPr>
      <w:r>
        <w:rPr>
          <w:rFonts w:hint="eastAsia" w:ascii="Times New Roman" w:hAnsi="Times New Roman" w:eastAsia="方正仿宋_GBK"/>
          <w:bCs/>
          <w:color w:val="auto"/>
          <w:kern w:val="0"/>
          <w:sz w:val="32"/>
          <w:szCs w:val="32"/>
          <w:highlight w:val="none"/>
        </w:rPr>
        <w:t>实施期限：2026年</w:t>
      </w:r>
      <w:r>
        <w:rPr>
          <w:rFonts w:hint="eastAsia" w:ascii="Times New Roman" w:hAnsi="Times New Roman" w:eastAsia="方正仿宋_GBK"/>
          <w:bCs/>
          <w:color w:val="auto"/>
          <w:kern w:val="0"/>
          <w:sz w:val="32"/>
          <w:szCs w:val="32"/>
          <w:highlight w:val="none"/>
          <w:lang w:val="en-US" w:eastAsia="zh-CN"/>
        </w:rPr>
        <w:t>6</w:t>
      </w:r>
      <w:r>
        <w:rPr>
          <w:rFonts w:hint="eastAsia" w:ascii="Times New Roman" w:hAnsi="Times New Roman" w:eastAsia="方正仿宋_GBK"/>
          <w:bCs/>
          <w:color w:val="auto"/>
          <w:kern w:val="0"/>
          <w:sz w:val="32"/>
          <w:szCs w:val="32"/>
          <w:highlight w:val="none"/>
        </w:rPr>
        <w:t>月前完成</w:t>
      </w:r>
    </w:p>
    <w:p w14:paraId="4D3697E4">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rPr>
      </w:pPr>
      <w:r>
        <w:rPr>
          <w:rFonts w:hint="eastAsia" w:ascii="Times New Roman" w:hAnsi="Times New Roman" w:eastAsia="方正仿宋_GBK"/>
          <w:bCs/>
          <w:color w:val="auto"/>
          <w:kern w:val="0"/>
          <w:sz w:val="32"/>
          <w:szCs w:val="32"/>
          <w:highlight w:val="none"/>
          <w:lang w:eastAsia="zh-CN"/>
        </w:rPr>
        <w:t>经费额度：不超过</w:t>
      </w:r>
      <w:r>
        <w:rPr>
          <w:rFonts w:hint="eastAsia" w:ascii="Times New Roman" w:hAnsi="Times New Roman" w:eastAsia="方正仿宋_GBK"/>
          <w:bCs/>
          <w:color w:val="auto"/>
          <w:kern w:val="0"/>
          <w:sz w:val="32"/>
          <w:szCs w:val="32"/>
          <w:highlight w:val="none"/>
        </w:rPr>
        <w:t>30万元</w:t>
      </w:r>
    </w:p>
    <w:p w14:paraId="5E78B74F">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eastAsia="宋体"/>
          <w:kern w:val="0"/>
          <w:lang w:val="en-US" w:eastAsia="zh-CN"/>
        </w:rPr>
      </w:pPr>
      <w:r>
        <w:rPr>
          <w:rFonts w:hint="eastAsia" w:ascii="Times New Roman" w:hAnsi="Times New Roman" w:eastAsia="方正仿宋_GBK"/>
          <w:bCs/>
          <w:color w:val="auto"/>
          <w:kern w:val="0"/>
          <w:sz w:val="32"/>
          <w:szCs w:val="32"/>
          <w:highlight w:val="none"/>
        </w:rPr>
        <w:t xml:space="preserve">联系人：科技合作处 </w:t>
      </w:r>
      <w:r>
        <w:rPr>
          <w:rFonts w:hint="eastAsia" w:ascii="Times New Roman" w:hAnsi="Times New Roman" w:eastAsia="方正仿宋_GBK"/>
          <w:bCs/>
          <w:color w:val="auto"/>
          <w:kern w:val="0"/>
          <w:sz w:val="32"/>
          <w:szCs w:val="32"/>
          <w:highlight w:val="none"/>
          <w:lang w:val="en-US" w:eastAsia="zh-CN"/>
        </w:rPr>
        <w:t xml:space="preserve"> </w:t>
      </w:r>
      <w:r>
        <w:rPr>
          <w:rFonts w:hint="eastAsia" w:ascii="Times New Roman" w:hAnsi="Times New Roman" w:eastAsia="方正仿宋_GBK"/>
          <w:bCs/>
          <w:color w:val="auto"/>
          <w:kern w:val="0"/>
          <w:sz w:val="32"/>
          <w:szCs w:val="32"/>
          <w:highlight w:val="none"/>
        </w:rPr>
        <w:t xml:space="preserve"> 卞晓庆 </w:t>
      </w:r>
      <w:r>
        <w:rPr>
          <w:rFonts w:hint="eastAsia" w:ascii="Times New Roman" w:hAnsi="Times New Roman" w:eastAsia="方正仿宋_GBK"/>
          <w:bCs/>
          <w:color w:val="auto"/>
          <w:kern w:val="0"/>
          <w:sz w:val="32"/>
          <w:szCs w:val="32"/>
          <w:highlight w:val="none"/>
          <w:lang w:val="en-US" w:eastAsia="zh-CN"/>
        </w:rPr>
        <w:t xml:space="preserve"> </w:t>
      </w:r>
      <w:r>
        <w:rPr>
          <w:rFonts w:hint="eastAsia" w:ascii="Times New Roman" w:hAnsi="Times New Roman" w:eastAsia="方正仿宋_GBK"/>
          <w:bCs/>
          <w:color w:val="auto"/>
          <w:kern w:val="0"/>
          <w:sz w:val="32"/>
          <w:szCs w:val="32"/>
          <w:highlight w:val="none"/>
        </w:rPr>
        <w:t xml:space="preserve"> 0551-62657892</w:t>
      </w:r>
    </w:p>
    <w:p w14:paraId="738006B5">
      <w:bookmarkStart w:id="0" w:name="_GoBack"/>
      <w:bookmarkEnd w:id="0"/>
    </w:p>
    <w:sectPr>
      <w:pgSz w:w="11906" w:h="16838"/>
      <w:pgMar w:top="2098" w:right="1474" w:bottom="1587"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96A18"/>
    <w:rsid w:val="4A496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3">
    <w:name w:val="footer"/>
    <w:qFormat/>
    <w:uiPriority w:val="0"/>
    <w:pPr>
      <w:widowControl w:val="0"/>
      <w:tabs>
        <w:tab w:val="center" w:pos="4140"/>
        <w:tab w:val="right" w:pos="8300"/>
      </w:tabs>
      <w:snapToGrid w:val="0"/>
      <w:spacing w:after="0"/>
      <w:jc w:val="left"/>
    </w:pPr>
    <w:rPr>
      <w:rFonts w:ascii="Calibri" w:hAnsi="Calibri" w:eastAsia="宋体" w:cs="Calibri"/>
      <w:kern w:val="2"/>
      <w:sz w:val="18"/>
      <w:szCs w:val="18"/>
      <w:lang w:val="en-US" w:eastAsia="zh-CN" w:bidi="ar-SA"/>
    </w:rPr>
  </w:style>
  <w:style w:type="paragraph" w:styleId="4">
    <w:name w:val="Normal (Web)"/>
    <w:qFormat/>
    <w:uiPriority w:val="0"/>
    <w:pPr>
      <w:widowControl w:val="0"/>
      <w:spacing w:before="100" w:beforeAutospacing="1" w:after="100" w:afterAutospacing="1"/>
      <w:ind w:left="0" w:right="0"/>
      <w:jc w:val="left"/>
    </w:pPr>
    <w:rPr>
      <w:rFonts w:ascii="Calibri" w:hAnsi="Calibri" w:eastAsia="宋体" w:cs="Calibri"/>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2025-05-22T09:03:00Z</dcterms:created>
  <dc:creator>何小包蛋</dc:creator>
  <cp:lastModifiedBy>何小包蛋</cp:lastModifiedBy>
  <dcterms:modified xsi:type="dcterms:W3CDTF">2025-05-22T09:03:54Z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57678FBF5B5F4FCE95F903F57AAD18B7_11</vt:lpwstr>
  </property>
  <property fmtid="{D5CDD505-2E9C-101B-9397-08002B2CF9AE}" pid="4" name="KSOTemplateDocerSaveRecord">
    <vt:lpwstr>eyJoZGlkIjoiN2Y5YjFhM2YzYjM5OGRhNDhmMTBjZGVlMWMyM2QzYzMiLCJ1c2VySWQiOiIxNTc4NzU0Mjk3In0=</vt:lpwstr>
  </property>
</Properties>
</file>