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E725B">
      <w:pPr>
        <w:widowControl/>
        <w:jc w:val="both"/>
        <w:rPr>
          <w:rFonts w:ascii="黑体" w:hAnsi="黑体" w:eastAsia="黑体" w:cs="Calibri"/>
          <w:color w:val="auto"/>
          <w:sz w:val="32"/>
          <w:szCs w:val="32"/>
        </w:rPr>
      </w:pPr>
      <w:r>
        <w:rPr>
          <w:rFonts w:hint="eastAsia" w:ascii="黑体" w:hAnsi="黑体" w:eastAsia="黑体" w:cs="Calibri"/>
          <w:color w:val="auto"/>
          <w:sz w:val="32"/>
          <w:szCs w:val="32"/>
        </w:rPr>
        <w:t>附件1</w:t>
      </w:r>
    </w:p>
    <w:p w14:paraId="298AE164">
      <w:pPr>
        <w:spacing w:line="720" w:lineRule="exact"/>
        <w:jc w:val="center"/>
        <w:rPr>
          <w:rFonts w:ascii="方正小标宋简体" w:hAnsi="宋体" w:eastAsia="方正小标宋简体" w:cs="Calibri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Calibri"/>
          <w:color w:val="auto"/>
          <w:sz w:val="44"/>
          <w:szCs w:val="44"/>
        </w:rPr>
        <w:t>第十</w:t>
      </w:r>
      <w:r>
        <w:rPr>
          <w:rFonts w:hint="eastAsia" w:ascii="方正小标宋简体" w:hAnsi="宋体" w:eastAsia="方正小标宋简体" w:cs="Calibri"/>
          <w:color w:val="auto"/>
          <w:sz w:val="44"/>
          <w:szCs w:val="44"/>
          <w:lang w:val="en-US" w:eastAsia="zh-CN"/>
        </w:rPr>
        <w:t>六</w:t>
      </w:r>
      <w:r>
        <w:rPr>
          <w:rFonts w:hint="eastAsia" w:ascii="方正小标宋简体" w:hAnsi="宋体" w:eastAsia="方正小标宋简体" w:cs="Calibri"/>
          <w:color w:val="auto"/>
          <w:sz w:val="44"/>
          <w:szCs w:val="44"/>
        </w:rPr>
        <w:t>届安徽省百所高校百万大学生</w:t>
      </w:r>
    </w:p>
    <w:p w14:paraId="743EC783">
      <w:pPr>
        <w:spacing w:line="720" w:lineRule="exact"/>
        <w:jc w:val="center"/>
        <w:rPr>
          <w:rFonts w:ascii="方正小标宋简体" w:hAnsi="宋体" w:eastAsia="方正小标宋简体" w:cs="Calibri"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Calibri"/>
          <w:color w:val="auto"/>
          <w:sz w:val="44"/>
          <w:szCs w:val="44"/>
        </w:rPr>
        <w:t>科普创意创新大赛复赛评审细则</w:t>
      </w:r>
    </w:p>
    <w:bookmarkEnd w:id="0"/>
    <w:p w14:paraId="01FC72C8"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 w:cs="Times New Roman"/>
          <w:bCs/>
          <w:color w:val="auto"/>
          <w:sz w:val="32"/>
          <w:szCs w:val="32"/>
          <w:lang w:val="zh-CN"/>
        </w:rPr>
      </w:pPr>
    </w:p>
    <w:p w14:paraId="74ADF616"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一、设立复赛评审专家组</w:t>
      </w:r>
    </w:p>
    <w:p w14:paraId="7467612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设立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实体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科普作品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、数字科普作品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和科普展演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个评审专家组。每组由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位专家组成，其中组长和副组长各1人（由大赛办定向邀请），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组员2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大赛办公室在评审专家库中随机抽取产生。根据各类参赛作品数量，大赛办可增加专家组成员。</w:t>
      </w:r>
    </w:p>
    <w:p w14:paraId="19EC237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评审专家须遵守国家相关法律法规，应本着公平、公正、公开的原则，客观理性评分，并签署《大赛评委承诺书》。</w:t>
      </w:r>
    </w:p>
    <w:p w14:paraId="55C11641"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二、评分办法</w:t>
      </w:r>
    </w:p>
    <w:p w14:paraId="2A18A3BA"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zh-CN"/>
        </w:rPr>
        <w:t>（一）复赛评分办法</w:t>
      </w:r>
    </w:p>
    <w:p w14:paraId="7072A75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复赛评审专家组实行实名制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组评审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制度，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各评审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专家小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组独立承担本组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作品的评分与遴选职责。</w:t>
      </w:r>
    </w:p>
    <w:p w14:paraId="0030D80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参赛作品最终得分按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复赛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评审专家组专家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评分的算术平均分计算（保留小数点后两位），如遇同分作品，由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复赛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组出具书面排序意见。</w:t>
      </w:r>
    </w:p>
    <w:p w14:paraId="0052F3E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复赛评审专家组依据得分从高到低遴选出218件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优秀科普作品奖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拟获奖作品（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实体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科普作品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72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数字科普作品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109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科普展演37件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和8件候选作品（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实体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科普作品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数字科普作品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科普展演2件），并择优遴选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实体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科普作品、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件数字科普作品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件科普展演共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件作品参加决赛现场答辩。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大赛办公室可根据实际的复赛各类参赛作品数，适当调整拟获奖和候选作品数量的比例。</w:t>
      </w:r>
    </w:p>
    <w:p w14:paraId="76337EA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复赛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启动会由评审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专家组组长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协同组员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本组参赛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作品数量，统筹制定各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参赛作品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类别拟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获奖名额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分配方案，明确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各子类别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比例、数量指标及对应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评选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分值区间，经专家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组集体审议后组织实施。</w:t>
      </w:r>
    </w:p>
    <w:p w14:paraId="7F18CA5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复赛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评审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采取两轮遴选制：</w:t>
      </w:r>
    </w:p>
    <w:p w14:paraId="2C8A70B8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1.初评筛选阶段：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全体评审专家依据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各组的拟获奖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分配方案独立完成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作品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评分，形成优秀科普作品奖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拟获奖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作品名单。</w:t>
      </w:r>
    </w:p>
    <w:p w14:paraId="71CE03F2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2.综合评议阶段：各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专家组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本组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专项评审会议，对优秀科普作品奖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拟获奖参赛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作品进行综合评议，依据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拟获奖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作品最终得分从高到低确定排序，同步完成候选作品提名。评审过程须完整记录专家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有效评分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的平均分值、书面评语等评审要素，最终形成附有排序位次及推荐意见的《优秀科普作品奖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复赛拟获奖作品名单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》。</w:t>
      </w:r>
    </w:p>
    <w:p w14:paraId="5DBA91F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复赛总结会由各专家组组长出席汇报，现场展示入围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优秀科普作品奖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决赛现场答辩拟获奖作品的核心内容，参与集体审议并签署《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优秀科普作品奖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决赛现场答辩入围作品名单确认书》（包含每组复赛一等奖拟获奖作品及二等奖总得分最高的2件拟获奖作品），提交本组专家共同签字署名的《复赛评审工作报告》。</w:t>
      </w:r>
    </w:p>
    <w:p w14:paraId="3780BA2B"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zh-CN"/>
        </w:rPr>
        <w:t>（二）评分标准</w:t>
      </w:r>
    </w:p>
    <w:p w14:paraId="796F86E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优秀科普作品奖根据参赛作品科学性、普及性、原创性、专业性和公正性进行评分，细则如下。</w:t>
      </w:r>
    </w:p>
    <w:p w14:paraId="6302FA3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1.科学性（20分）：参赛作品表达的科学原理正确，对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zh-CN"/>
        </w:rPr>
        <w:t>科学知识、思想、方法、精神或文化的表达层次清楚、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lang w:val="zh-CN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zh-CN"/>
        </w:rPr>
        <w:t>逻辑；</w:t>
      </w:r>
    </w:p>
    <w:p w14:paraId="1EA7421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2.普及性（20分）：易推广普及，通俗易懂，互动性、趣味性强，具有较强吸引力等；</w:t>
      </w:r>
    </w:p>
    <w:p w14:paraId="14402324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3.原创性（20分）：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zh-CN"/>
        </w:rPr>
        <w:t>参赛作品须为原创，其他赛事获奖作品不得申报，同一件作品不得反复申报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；</w:t>
      </w:r>
    </w:p>
    <w:p w14:paraId="69CE918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4.专业性（20分）：要紧密结合参赛者的学科专业特长，安全可靠，表现形式和外观造型新颖，鼓励科技资源向科普资源转化；</w:t>
      </w:r>
    </w:p>
    <w:p w14:paraId="6685543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5.公正性（20分）。符合科学道德和科研诚信规范，相关科研资源获取合规。参赛作品（含配音）中不得出现参赛者和所在高等学校等相关信息。</w:t>
      </w:r>
    </w:p>
    <w:p w14:paraId="5EC223FD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/>
        </w:rPr>
        <w:t>复赛推荐的参赛作品科学性、普及性、原创性、专业性、公正性得分均不低于15分。</w:t>
      </w:r>
    </w:p>
    <w:p w14:paraId="2A942208">
      <w:pPr>
        <w:spacing w:line="58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/>
        </w:rPr>
        <w:t>三、其他</w:t>
      </w:r>
    </w:p>
    <w:p w14:paraId="08CAA21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1.在复赛公示期间，社会公众对参赛作品原创性等提出异议的，由复赛评审专家组评定。</w:t>
      </w:r>
    </w:p>
    <w:p w14:paraId="0A9C823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"/>
        </w:rPr>
        <w:t>复赛接受省纪委监委驻省科技厅纪检监察组和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省科协机关纪委监督。</w:t>
      </w:r>
    </w:p>
    <w:p w14:paraId="48C4A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2F59"/>
    <w:rsid w:val="6E1F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2025-05-27T01:13:00Z</dcterms:created>
  <dc:creator>杨泰一</dc:creator>
  <cp:lastModifiedBy>杨泰一</cp:lastModifiedBy>
  <dcterms:modified xsi:type="dcterms:W3CDTF">2025-05-27T01:13:52Z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A1761660E5174EF083DB113A28F98E9F_11</vt:lpwstr>
  </property>
  <property fmtid="{D5CDD505-2E9C-101B-9397-08002B2CF9AE}" pid="4" name="KSOTemplateDocerSaveRecord">
    <vt:lpwstr>eyJoZGlkIjoiZmE1NWM2NWE5Yzc5YmE4ODliMjFiNGFlMDgwOTZjMmUiLCJ1c2VySWQiOiI1NTI0NTUwMjgifQ==</vt:lpwstr>
  </property>
</Properties>
</file>