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58FC3">
      <w:pPr>
        <w:widowControl/>
        <w:jc w:val="left"/>
        <w:rPr>
          <w:rFonts w:ascii="Calibri" w:hAnsi="Calibri" w:eastAsia="黑体" w:cs="Times New Roman"/>
          <w:color w:val="auto"/>
          <w:kern w:val="0"/>
        </w:rPr>
      </w:pPr>
      <w:r>
        <w:rPr>
          <w:rFonts w:hint="eastAsia" w:ascii="黑体" w:hAnsi="黑体" w:eastAsia="黑体" w:cs="Calibri"/>
          <w:color w:val="auto"/>
          <w:sz w:val="32"/>
          <w:szCs w:val="32"/>
        </w:rPr>
        <w:t>附件2</w:t>
      </w:r>
    </w:p>
    <w:p w14:paraId="3761B89F">
      <w:pPr>
        <w:widowControl/>
        <w:spacing w:line="760" w:lineRule="exact"/>
        <w:jc w:val="center"/>
        <w:rPr>
          <w:rFonts w:ascii="方正小标宋简体" w:hAnsi="宋体" w:eastAsia="方正小标宋简体" w:cs="Calibri"/>
          <w:color w:val="auto"/>
          <w:sz w:val="44"/>
          <w:szCs w:val="44"/>
        </w:rPr>
      </w:pPr>
      <w:r>
        <w:rPr>
          <w:rFonts w:hint="eastAsia" w:ascii="方正小标宋简体" w:hAnsi="宋体" w:eastAsia="方正小标宋简体" w:cs="Calibri"/>
          <w:color w:val="auto"/>
          <w:sz w:val="44"/>
          <w:szCs w:val="44"/>
        </w:rPr>
        <w:t>第十</w:t>
      </w:r>
      <w:r>
        <w:rPr>
          <w:rFonts w:hint="eastAsia" w:ascii="方正小标宋简体" w:hAnsi="宋体" w:eastAsia="方正小标宋简体" w:cs="Calibri"/>
          <w:color w:val="auto"/>
          <w:sz w:val="44"/>
          <w:szCs w:val="44"/>
          <w:lang w:val="en-US" w:eastAsia="zh-CN"/>
        </w:rPr>
        <w:t>六</w:t>
      </w:r>
      <w:r>
        <w:rPr>
          <w:rFonts w:hint="eastAsia" w:ascii="方正小标宋简体" w:hAnsi="宋体" w:eastAsia="方正小标宋简体" w:cs="Calibri"/>
          <w:color w:val="auto"/>
          <w:sz w:val="44"/>
          <w:szCs w:val="44"/>
        </w:rPr>
        <w:t>届安徽省百所高校百万大学生</w:t>
      </w:r>
    </w:p>
    <w:p w14:paraId="43692227">
      <w:pPr>
        <w:spacing w:line="760" w:lineRule="exact"/>
        <w:jc w:val="center"/>
        <w:rPr>
          <w:rFonts w:ascii="方正小标宋简体" w:hAnsi="宋体" w:eastAsia="方正小标宋简体" w:cs="Calibri"/>
          <w:color w:val="auto"/>
          <w:sz w:val="44"/>
          <w:szCs w:val="44"/>
        </w:rPr>
      </w:pPr>
      <w:r>
        <w:rPr>
          <w:rFonts w:hint="eastAsia" w:ascii="方正小标宋简体" w:hAnsi="宋体" w:eastAsia="方正小标宋简体" w:cs="Calibri"/>
          <w:color w:val="auto"/>
          <w:sz w:val="44"/>
          <w:szCs w:val="44"/>
        </w:rPr>
        <w:t>科普创意创新大赛决赛评审细则</w:t>
      </w:r>
    </w:p>
    <w:p w14:paraId="45A3F341">
      <w:pPr>
        <w:adjustRightInd w:val="0"/>
        <w:snapToGrid w:val="0"/>
        <w:spacing w:line="360" w:lineRule="auto"/>
        <w:rPr>
          <w:rFonts w:ascii="仿宋_GB2312" w:hAnsi="Courier New" w:eastAsia="仿宋_GB2312" w:cs="仿宋_GB2312"/>
          <w:b/>
          <w:color w:val="auto"/>
          <w:sz w:val="32"/>
          <w:szCs w:val="32"/>
          <w:lang w:val="zh-CN"/>
        </w:rPr>
      </w:pPr>
    </w:p>
    <w:p w14:paraId="00B3AD49">
      <w:pPr>
        <w:ind w:firstLine="640" w:firstLineChars="200"/>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一、设立决赛评审专家委员会</w:t>
      </w:r>
    </w:p>
    <w:p w14:paraId="54EC31AF">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决赛评审专家委员会由</w:t>
      </w:r>
      <w:r>
        <w:rPr>
          <w:rFonts w:hint="eastAsia" w:ascii="仿宋_GB2312" w:hAnsi="仿宋_GB2312" w:eastAsia="仿宋_GB2312" w:cs="仿宋_GB2312"/>
          <w:color w:val="auto"/>
          <w:sz w:val="32"/>
          <w:szCs w:val="32"/>
        </w:rPr>
        <w:t>10位评审专家组成，其中组长1人（大赛办公室定向邀请），副组长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人（复赛评审专家组推选）、其他</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zh-CN"/>
        </w:rPr>
        <w:t>由大赛办公室在评审专家库随机抽取产生。</w:t>
      </w:r>
    </w:p>
    <w:p w14:paraId="1D47DCBF">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评审专家</w:t>
      </w:r>
      <w:r>
        <w:rPr>
          <w:rFonts w:hint="eastAsia" w:ascii="仿宋_GB2312" w:hAnsi="仿宋_GB2312" w:eastAsia="仿宋_GB2312" w:cs="仿宋_GB2312"/>
          <w:color w:val="auto"/>
          <w:sz w:val="32"/>
          <w:szCs w:val="32"/>
          <w:lang w:val="zh-CN"/>
        </w:rPr>
        <w:t>要遵守国家相关法律法规，应本着公平、公正、公开的原则，客观理性评分，</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val="zh-CN"/>
        </w:rPr>
        <w:t>签署《大赛评委承诺书》。</w:t>
      </w:r>
    </w:p>
    <w:p w14:paraId="46B28172">
      <w:pPr>
        <w:ind w:firstLine="640" w:firstLineChars="200"/>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二、奖项设置及评分办法</w:t>
      </w:r>
    </w:p>
    <w:p w14:paraId="582EB6E2">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（一）奖项设置和产生办法</w:t>
      </w:r>
    </w:p>
    <w:p w14:paraId="4C13695F">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rPr>
        <w:t>决赛评审专家</w:t>
      </w:r>
      <w:r>
        <w:rPr>
          <w:rFonts w:hint="eastAsia" w:ascii="仿宋_GB2312" w:hAnsi="仿宋_GB2312" w:eastAsia="仿宋_GB2312" w:cs="仿宋_GB2312"/>
          <w:color w:val="auto"/>
          <w:sz w:val="32"/>
          <w:szCs w:val="32"/>
        </w:rPr>
        <w:t>需在</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入围优秀科普作品奖决赛</w:t>
      </w:r>
      <w:r>
        <w:rPr>
          <w:rFonts w:hint="eastAsia" w:ascii="仿宋_GB2312" w:hAnsi="仿宋_GB2312" w:eastAsia="仿宋_GB2312" w:cs="仿宋_GB2312"/>
          <w:color w:val="auto"/>
          <w:sz w:val="32"/>
          <w:szCs w:val="32"/>
          <w:lang w:val="en-US" w:eastAsia="zh-CN"/>
        </w:rPr>
        <w:t>现场答辩</w:t>
      </w:r>
      <w:r>
        <w:rPr>
          <w:rFonts w:hint="eastAsia" w:ascii="仿宋_GB2312" w:hAnsi="仿宋_GB2312" w:eastAsia="仿宋_GB2312" w:cs="仿宋_GB2312"/>
          <w:color w:val="auto"/>
          <w:sz w:val="32"/>
          <w:szCs w:val="32"/>
        </w:rPr>
        <w:t>的20件参赛作品中，评选出一等奖14件、二等奖6件，其中</w:t>
      </w:r>
      <w:r>
        <w:rPr>
          <w:rFonts w:hint="eastAsia" w:ascii="仿宋_GB2312" w:hAnsi="仿宋_GB2312" w:eastAsia="仿宋_GB2312" w:cs="仿宋_GB2312"/>
          <w:color w:val="auto"/>
          <w:sz w:val="32"/>
          <w:szCs w:val="32"/>
          <w:lang w:val="en-US" w:eastAsia="zh-CN"/>
        </w:rPr>
        <w:t>决赛最终得分</w:t>
      </w:r>
      <w:r>
        <w:rPr>
          <w:rFonts w:hint="eastAsia" w:ascii="仿宋_GB2312" w:hAnsi="仿宋_GB2312" w:eastAsia="仿宋_GB2312" w:cs="仿宋_GB2312"/>
          <w:color w:val="auto"/>
          <w:sz w:val="32"/>
          <w:szCs w:val="32"/>
        </w:rPr>
        <w:t>最高的2件参赛作品，参与特等奖投票。</w:t>
      </w:r>
      <w:r>
        <w:rPr>
          <w:rFonts w:hint="eastAsia" w:ascii="仿宋_GB2312" w:hAnsi="仿宋_GB2312" w:eastAsia="仿宋_GB2312" w:cs="仿宋_GB2312"/>
          <w:color w:val="auto"/>
          <w:sz w:val="32"/>
          <w:szCs w:val="32"/>
          <w:lang w:val="en-US" w:eastAsia="zh-CN"/>
        </w:rPr>
        <w:t>未入围</w:t>
      </w:r>
      <w:r>
        <w:rPr>
          <w:rFonts w:hint="eastAsia" w:ascii="仿宋_GB2312" w:hAnsi="仿宋_GB2312" w:eastAsia="仿宋_GB2312" w:cs="仿宋_GB2312"/>
          <w:color w:val="auto"/>
          <w:sz w:val="32"/>
          <w:szCs w:val="32"/>
        </w:rPr>
        <w:t>优秀科普作品奖决赛</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二等奖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三等奖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优秀奖</w:t>
      </w:r>
      <w:r>
        <w:rPr>
          <w:rFonts w:hint="eastAsia" w:ascii="仿宋_GB2312" w:hAnsi="仿宋_GB2312" w:eastAsia="仿宋_GB2312" w:cs="仿宋_GB2312"/>
          <w:color w:val="auto"/>
          <w:sz w:val="32"/>
          <w:szCs w:val="32"/>
          <w:lang w:val="en-US" w:eastAsia="zh-CN"/>
        </w:rPr>
        <w:t>参赛作品，按照复赛评审得分从高到低排序依次产生。</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特等奖</w:t>
      </w:r>
      <w:r>
        <w:rPr>
          <w:rFonts w:hint="eastAsia" w:ascii="仿宋_GB2312" w:hAnsi="仿宋_GB2312" w:eastAsia="仿宋_GB2312" w:cs="仿宋_GB2312"/>
          <w:color w:val="auto"/>
          <w:sz w:val="32"/>
          <w:szCs w:val="32"/>
          <w:lang w:eastAsia="zh-CN"/>
        </w:rPr>
        <w:t>产生情况，各奖项数量设置如下：</w:t>
      </w:r>
    </w:p>
    <w:p w14:paraId="2AC61A6A">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1.当产生2名特等奖时：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tblGrid>
      <w:tr w14:paraId="05B6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 w:type="dxa"/>
            <w:noWrap w:val="0"/>
            <w:vAlign w:val="top"/>
          </w:tcPr>
          <w:p w14:paraId="2241C007">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作品类型</w:t>
            </w:r>
          </w:p>
        </w:tc>
        <w:tc>
          <w:tcPr>
            <w:tcW w:w="1420" w:type="dxa"/>
            <w:noWrap w:val="0"/>
            <w:vAlign w:val="top"/>
          </w:tcPr>
          <w:p w14:paraId="62A73C68">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一等奖</w:t>
            </w:r>
          </w:p>
        </w:tc>
        <w:tc>
          <w:tcPr>
            <w:tcW w:w="1420" w:type="dxa"/>
            <w:noWrap w:val="0"/>
            <w:vAlign w:val="top"/>
          </w:tcPr>
          <w:p w14:paraId="7BFFF1A1">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二等奖</w:t>
            </w:r>
          </w:p>
        </w:tc>
        <w:tc>
          <w:tcPr>
            <w:tcW w:w="1421" w:type="dxa"/>
            <w:noWrap w:val="0"/>
            <w:vAlign w:val="top"/>
          </w:tcPr>
          <w:p w14:paraId="3FACD81C">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三等奖</w:t>
            </w:r>
          </w:p>
        </w:tc>
        <w:tc>
          <w:tcPr>
            <w:tcW w:w="1421" w:type="dxa"/>
            <w:noWrap w:val="0"/>
            <w:vAlign w:val="top"/>
          </w:tcPr>
          <w:p w14:paraId="071F012B">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优秀奖</w:t>
            </w:r>
          </w:p>
        </w:tc>
      </w:tr>
      <w:tr w14:paraId="2B1D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top"/>
          </w:tcPr>
          <w:p w14:paraId="1EF2071F">
            <w:pPr>
              <w:jc w:val="center"/>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28"/>
                <w:szCs w:val="28"/>
                <w:lang w:eastAsia="zh"/>
              </w:rPr>
              <w:t>实体</w:t>
            </w:r>
            <w:r>
              <w:rPr>
                <w:rFonts w:hint="eastAsia" w:ascii="仿宋_GB2312" w:hAnsi="仿宋_GB2312" w:eastAsia="仿宋_GB2312" w:cs="仿宋_GB2312"/>
                <w:color w:val="auto"/>
                <w:sz w:val="28"/>
                <w:szCs w:val="28"/>
              </w:rPr>
              <w:t>作品</w:t>
            </w:r>
          </w:p>
        </w:tc>
        <w:tc>
          <w:tcPr>
            <w:tcW w:w="1420" w:type="dxa"/>
            <w:noWrap w:val="0"/>
            <w:vAlign w:val="top"/>
          </w:tcPr>
          <w:p w14:paraId="0BC55633">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4</w:t>
            </w:r>
          </w:p>
        </w:tc>
        <w:tc>
          <w:tcPr>
            <w:tcW w:w="1420" w:type="dxa"/>
            <w:noWrap w:val="0"/>
            <w:vAlign w:val="top"/>
          </w:tcPr>
          <w:p w14:paraId="66F231A3">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8</w:t>
            </w:r>
          </w:p>
        </w:tc>
        <w:tc>
          <w:tcPr>
            <w:tcW w:w="1421" w:type="dxa"/>
            <w:noWrap w:val="0"/>
            <w:vAlign w:val="top"/>
          </w:tcPr>
          <w:p w14:paraId="05BD59D9">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26</w:t>
            </w:r>
          </w:p>
        </w:tc>
        <w:tc>
          <w:tcPr>
            <w:tcW w:w="1421" w:type="dxa"/>
            <w:noWrap w:val="0"/>
            <w:vAlign w:val="top"/>
          </w:tcPr>
          <w:p w14:paraId="4211189A">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33</w:t>
            </w:r>
          </w:p>
        </w:tc>
      </w:tr>
      <w:tr w14:paraId="081C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7CD078E4">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val="en-US" w:eastAsia="zh-CN"/>
              </w:rPr>
              <w:t>数字</w:t>
            </w:r>
            <w:r>
              <w:rPr>
                <w:rFonts w:hint="eastAsia" w:ascii="仿宋_GB2312" w:hAnsi="仿宋_GB2312" w:eastAsia="仿宋_GB2312" w:cs="仿宋_GB2312"/>
                <w:color w:val="auto"/>
                <w:sz w:val="28"/>
                <w:szCs w:val="28"/>
                <w:lang w:val="en-US" w:eastAsia="zh"/>
              </w:rPr>
              <w:t>作品</w:t>
            </w:r>
          </w:p>
        </w:tc>
        <w:tc>
          <w:tcPr>
            <w:tcW w:w="1420" w:type="dxa"/>
            <w:noWrap w:val="0"/>
            <w:vAlign w:val="top"/>
          </w:tcPr>
          <w:p w14:paraId="244A4D1D">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6</w:t>
            </w:r>
          </w:p>
        </w:tc>
        <w:tc>
          <w:tcPr>
            <w:tcW w:w="1420" w:type="dxa"/>
            <w:noWrap w:val="0"/>
            <w:vAlign w:val="top"/>
          </w:tcPr>
          <w:p w14:paraId="602C9690">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14</w:t>
            </w:r>
          </w:p>
        </w:tc>
        <w:tc>
          <w:tcPr>
            <w:tcW w:w="1421" w:type="dxa"/>
            <w:noWrap w:val="0"/>
            <w:vAlign w:val="top"/>
          </w:tcPr>
          <w:p w14:paraId="735DCA10">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40</w:t>
            </w:r>
          </w:p>
        </w:tc>
        <w:tc>
          <w:tcPr>
            <w:tcW w:w="1421" w:type="dxa"/>
            <w:noWrap w:val="0"/>
            <w:vAlign w:val="top"/>
          </w:tcPr>
          <w:p w14:paraId="370F5078">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50</w:t>
            </w:r>
          </w:p>
        </w:tc>
      </w:tr>
      <w:tr w14:paraId="34CD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53CEF564">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科普展演</w:t>
            </w:r>
          </w:p>
        </w:tc>
        <w:tc>
          <w:tcPr>
            <w:tcW w:w="1420" w:type="dxa"/>
            <w:noWrap w:val="0"/>
            <w:vAlign w:val="top"/>
          </w:tcPr>
          <w:p w14:paraId="1C76FE1E">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2</w:t>
            </w:r>
          </w:p>
        </w:tc>
        <w:tc>
          <w:tcPr>
            <w:tcW w:w="1420" w:type="dxa"/>
            <w:noWrap w:val="0"/>
            <w:vAlign w:val="top"/>
          </w:tcPr>
          <w:p w14:paraId="1037A3B0">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4</w:t>
            </w:r>
          </w:p>
        </w:tc>
        <w:tc>
          <w:tcPr>
            <w:tcW w:w="1421" w:type="dxa"/>
            <w:noWrap w:val="0"/>
            <w:vAlign w:val="top"/>
          </w:tcPr>
          <w:p w14:paraId="58FF5AFE">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14</w:t>
            </w:r>
          </w:p>
        </w:tc>
        <w:tc>
          <w:tcPr>
            <w:tcW w:w="1421" w:type="dxa"/>
            <w:noWrap w:val="0"/>
            <w:vAlign w:val="top"/>
          </w:tcPr>
          <w:p w14:paraId="189804CB">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17</w:t>
            </w:r>
          </w:p>
        </w:tc>
      </w:tr>
    </w:tbl>
    <w:p w14:paraId="7CEDE80B">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2.当产生1名特等奖时：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tblGrid>
      <w:tr w14:paraId="686A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top"/>
          </w:tcPr>
          <w:p w14:paraId="75E92475">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作品类型</w:t>
            </w:r>
          </w:p>
        </w:tc>
        <w:tc>
          <w:tcPr>
            <w:tcW w:w="1420" w:type="dxa"/>
            <w:noWrap w:val="0"/>
            <w:vAlign w:val="top"/>
          </w:tcPr>
          <w:p w14:paraId="51D5551D">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一等奖</w:t>
            </w:r>
          </w:p>
        </w:tc>
        <w:tc>
          <w:tcPr>
            <w:tcW w:w="1420" w:type="dxa"/>
            <w:noWrap w:val="0"/>
            <w:vAlign w:val="top"/>
          </w:tcPr>
          <w:p w14:paraId="151D4F0A">
            <w:pPr>
              <w:jc w:val="center"/>
              <w:rPr>
                <w:rFonts w:hint="eastAsia" w:ascii="黑体" w:hAnsi="黑体" w:eastAsia="黑体" w:cs="黑体"/>
                <w:b w:val="0"/>
                <w:bCs w:val="0"/>
                <w:color w:val="auto"/>
                <w:sz w:val="32"/>
                <w:szCs w:val="32"/>
                <w:vertAlign w:val="baseline"/>
              </w:rPr>
            </w:pPr>
            <w:r>
              <w:rPr>
                <w:rFonts w:hint="eastAsia" w:ascii="黑体" w:hAnsi="黑体" w:eastAsia="黑体" w:cs="黑体"/>
                <w:b w:val="0"/>
                <w:bCs w:val="0"/>
                <w:color w:val="auto"/>
                <w:sz w:val="28"/>
                <w:szCs w:val="28"/>
              </w:rPr>
              <w:t>二等奖</w:t>
            </w:r>
          </w:p>
        </w:tc>
        <w:tc>
          <w:tcPr>
            <w:tcW w:w="1421" w:type="dxa"/>
            <w:noWrap w:val="0"/>
            <w:vAlign w:val="top"/>
          </w:tcPr>
          <w:p w14:paraId="432945D6">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三等奖</w:t>
            </w:r>
          </w:p>
        </w:tc>
        <w:tc>
          <w:tcPr>
            <w:tcW w:w="1421" w:type="dxa"/>
            <w:noWrap w:val="0"/>
            <w:vAlign w:val="top"/>
          </w:tcPr>
          <w:p w14:paraId="23980FFA">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优秀奖</w:t>
            </w:r>
          </w:p>
        </w:tc>
      </w:tr>
      <w:tr w14:paraId="4AE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top"/>
          </w:tcPr>
          <w:p w14:paraId="51F83336">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eastAsia="zh"/>
              </w:rPr>
              <w:t>实体</w:t>
            </w:r>
            <w:r>
              <w:rPr>
                <w:rFonts w:hint="eastAsia" w:ascii="仿宋_GB2312" w:hAnsi="仿宋_GB2312" w:eastAsia="仿宋_GB2312" w:cs="仿宋_GB2312"/>
                <w:color w:val="auto"/>
                <w:sz w:val="28"/>
                <w:szCs w:val="28"/>
              </w:rPr>
              <w:t>作品</w:t>
            </w:r>
          </w:p>
        </w:tc>
        <w:tc>
          <w:tcPr>
            <w:tcW w:w="1420" w:type="dxa"/>
            <w:noWrap w:val="0"/>
            <w:vAlign w:val="top"/>
          </w:tcPr>
          <w:p w14:paraId="384958D5">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4</w:t>
            </w:r>
          </w:p>
        </w:tc>
        <w:tc>
          <w:tcPr>
            <w:tcW w:w="1420" w:type="dxa"/>
            <w:noWrap w:val="0"/>
            <w:vAlign w:val="top"/>
          </w:tcPr>
          <w:p w14:paraId="65B39C8B">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9</w:t>
            </w:r>
          </w:p>
        </w:tc>
        <w:tc>
          <w:tcPr>
            <w:tcW w:w="1421" w:type="dxa"/>
            <w:noWrap w:val="0"/>
            <w:vAlign w:val="top"/>
          </w:tcPr>
          <w:p w14:paraId="51D6FEF3">
            <w:pPr>
              <w:jc w:val="center"/>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
              </w:rPr>
              <w:t>26</w:t>
            </w:r>
          </w:p>
        </w:tc>
        <w:tc>
          <w:tcPr>
            <w:tcW w:w="1421" w:type="dxa"/>
            <w:noWrap w:val="0"/>
            <w:vAlign w:val="top"/>
          </w:tcPr>
          <w:p w14:paraId="4C24DD58">
            <w:pPr>
              <w:jc w:val="center"/>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
              </w:rPr>
              <w:t>33</w:t>
            </w:r>
          </w:p>
        </w:tc>
      </w:tr>
      <w:tr w14:paraId="4014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412BA11C">
            <w:pPr>
              <w:jc w:val="center"/>
              <w:rPr>
                <w:rFonts w:hint="eastAsia" w:ascii="仿宋_GB2312" w:hAnsi="仿宋_GB2312" w:eastAsia="仿宋_GB2312" w:cs="仿宋_GB2312"/>
                <w:color w:val="auto"/>
                <w:sz w:val="28"/>
                <w:szCs w:val="28"/>
                <w:vertAlign w:val="baseline"/>
                <w:lang w:eastAsia="zh"/>
              </w:rPr>
            </w:pPr>
            <w:r>
              <w:rPr>
                <w:rFonts w:hint="eastAsia" w:ascii="仿宋_GB2312" w:hAnsi="仿宋_GB2312" w:eastAsia="仿宋_GB2312" w:cs="仿宋_GB2312"/>
                <w:color w:val="auto"/>
                <w:sz w:val="28"/>
                <w:szCs w:val="28"/>
                <w:lang w:val="en-US" w:eastAsia="zh-CN"/>
              </w:rPr>
              <w:t>数字</w:t>
            </w:r>
            <w:r>
              <w:rPr>
                <w:rFonts w:hint="eastAsia" w:ascii="仿宋_GB2312" w:hAnsi="仿宋_GB2312" w:eastAsia="仿宋_GB2312" w:cs="仿宋_GB2312"/>
                <w:color w:val="auto"/>
                <w:sz w:val="28"/>
                <w:szCs w:val="28"/>
                <w:lang w:val="en-US" w:eastAsia="zh"/>
              </w:rPr>
              <w:t>作品</w:t>
            </w:r>
          </w:p>
        </w:tc>
        <w:tc>
          <w:tcPr>
            <w:tcW w:w="1420" w:type="dxa"/>
            <w:noWrap w:val="0"/>
            <w:vAlign w:val="top"/>
          </w:tcPr>
          <w:p w14:paraId="02B3DE93">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7</w:t>
            </w:r>
          </w:p>
        </w:tc>
        <w:tc>
          <w:tcPr>
            <w:tcW w:w="1420" w:type="dxa"/>
            <w:noWrap w:val="0"/>
            <w:vAlign w:val="top"/>
          </w:tcPr>
          <w:p w14:paraId="060911B2">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15</w:t>
            </w:r>
          </w:p>
        </w:tc>
        <w:tc>
          <w:tcPr>
            <w:tcW w:w="1421" w:type="dxa"/>
            <w:noWrap w:val="0"/>
            <w:vAlign w:val="top"/>
          </w:tcPr>
          <w:p w14:paraId="5CC7C985">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40</w:t>
            </w:r>
          </w:p>
        </w:tc>
        <w:tc>
          <w:tcPr>
            <w:tcW w:w="1421" w:type="dxa"/>
            <w:noWrap w:val="0"/>
            <w:vAlign w:val="top"/>
          </w:tcPr>
          <w:p w14:paraId="5C95DA6D">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50</w:t>
            </w:r>
          </w:p>
        </w:tc>
      </w:tr>
      <w:tr w14:paraId="35C5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69071480">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科普展演</w:t>
            </w:r>
          </w:p>
        </w:tc>
        <w:tc>
          <w:tcPr>
            <w:tcW w:w="1420" w:type="dxa"/>
            <w:noWrap w:val="0"/>
            <w:vAlign w:val="top"/>
          </w:tcPr>
          <w:p w14:paraId="516CE00B">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2</w:t>
            </w:r>
          </w:p>
        </w:tc>
        <w:tc>
          <w:tcPr>
            <w:tcW w:w="1420" w:type="dxa"/>
            <w:noWrap w:val="0"/>
            <w:vAlign w:val="top"/>
          </w:tcPr>
          <w:p w14:paraId="4CDE5A10">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5</w:t>
            </w:r>
          </w:p>
        </w:tc>
        <w:tc>
          <w:tcPr>
            <w:tcW w:w="1421" w:type="dxa"/>
            <w:noWrap w:val="0"/>
            <w:vAlign w:val="top"/>
          </w:tcPr>
          <w:p w14:paraId="68F98D35">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14</w:t>
            </w:r>
          </w:p>
        </w:tc>
        <w:tc>
          <w:tcPr>
            <w:tcW w:w="1421" w:type="dxa"/>
            <w:noWrap w:val="0"/>
            <w:vAlign w:val="top"/>
          </w:tcPr>
          <w:p w14:paraId="2C8B732A">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17</w:t>
            </w:r>
          </w:p>
        </w:tc>
      </w:tr>
    </w:tbl>
    <w:p w14:paraId="5FAF86A1">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3.未产生特等奖时：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tblGrid>
      <w:tr w14:paraId="6921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top"/>
          </w:tcPr>
          <w:p w14:paraId="5E28756D">
            <w:pPr>
              <w:jc w:val="center"/>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作品类型</w:t>
            </w:r>
          </w:p>
        </w:tc>
        <w:tc>
          <w:tcPr>
            <w:tcW w:w="1420" w:type="dxa"/>
            <w:noWrap w:val="0"/>
            <w:vAlign w:val="top"/>
          </w:tcPr>
          <w:p w14:paraId="1CCB3078">
            <w:pPr>
              <w:jc w:val="center"/>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一等奖</w:t>
            </w:r>
          </w:p>
        </w:tc>
        <w:tc>
          <w:tcPr>
            <w:tcW w:w="1420" w:type="dxa"/>
            <w:noWrap w:val="0"/>
            <w:vAlign w:val="top"/>
          </w:tcPr>
          <w:p w14:paraId="7DC89482">
            <w:pPr>
              <w:jc w:val="center"/>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二等奖</w:t>
            </w:r>
          </w:p>
        </w:tc>
        <w:tc>
          <w:tcPr>
            <w:tcW w:w="1421" w:type="dxa"/>
            <w:noWrap w:val="0"/>
            <w:vAlign w:val="top"/>
          </w:tcPr>
          <w:p w14:paraId="51C55380">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三等奖</w:t>
            </w:r>
          </w:p>
        </w:tc>
        <w:tc>
          <w:tcPr>
            <w:tcW w:w="1421" w:type="dxa"/>
            <w:noWrap w:val="0"/>
            <w:vAlign w:val="top"/>
          </w:tcPr>
          <w:p w14:paraId="46A6A641">
            <w:pPr>
              <w:jc w:val="center"/>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优秀奖</w:t>
            </w:r>
          </w:p>
        </w:tc>
      </w:tr>
      <w:tr w14:paraId="0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top"/>
          </w:tcPr>
          <w:p w14:paraId="63A714C7">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lang w:eastAsia="zh"/>
              </w:rPr>
              <w:t>实体</w:t>
            </w:r>
            <w:r>
              <w:rPr>
                <w:rFonts w:hint="eastAsia" w:ascii="仿宋_GB2312" w:hAnsi="仿宋_GB2312" w:eastAsia="仿宋_GB2312" w:cs="仿宋_GB2312"/>
                <w:color w:val="auto"/>
                <w:sz w:val="28"/>
                <w:szCs w:val="28"/>
              </w:rPr>
              <w:t>作品</w:t>
            </w:r>
          </w:p>
        </w:tc>
        <w:tc>
          <w:tcPr>
            <w:tcW w:w="1420" w:type="dxa"/>
            <w:noWrap w:val="0"/>
            <w:vAlign w:val="top"/>
          </w:tcPr>
          <w:p w14:paraId="702E6D70">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5</w:t>
            </w:r>
          </w:p>
        </w:tc>
        <w:tc>
          <w:tcPr>
            <w:tcW w:w="1420" w:type="dxa"/>
            <w:noWrap w:val="0"/>
            <w:vAlign w:val="top"/>
          </w:tcPr>
          <w:p w14:paraId="4B63EF05">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10</w:t>
            </w:r>
          </w:p>
        </w:tc>
        <w:tc>
          <w:tcPr>
            <w:tcW w:w="1421" w:type="dxa"/>
            <w:noWrap w:val="0"/>
            <w:vAlign w:val="top"/>
          </w:tcPr>
          <w:p w14:paraId="681059A6">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26</w:t>
            </w:r>
          </w:p>
        </w:tc>
        <w:tc>
          <w:tcPr>
            <w:tcW w:w="1421" w:type="dxa"/>
            <w:noWrap w:val="0"/>
            <w:vAlign w:val="top"/>
          </w:tcPr>
          <w:p w14:paraId="6882E697">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33</w:t>
            </w:r>
          </w:p>
        </w:tc>
      </w:tr>
      <w:tr w14:paraId="7765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1933C6D1">
            <w:pPr>
              <w:jc w:val="center"/>
              <w:rPr>
                <w:rFonts w:hint="eastAsia" w:ascii="仿宋_GB2312" w:hAnsi="仿宋_GB2312" w:eastAsia="仿宋_GB2312" w:cs="仿宋_GB2312"/>
                <w:color w:val="auto"/>
                <w:sz w:val="28"/>
                <w:szCs w:val="28"/>
                <w:vertAlign w:val="baseline"/>
                <w:lang w:eastAsia="zh"/>
              </w:rPr>
            </w:pPr>
            <w:r>
              <w:rPr>
                <w:rFonts w:hint="eastAsia" w:ascii="仿宋_GB2312" w:hAnsi="仿宋_GB2312" w:eastAsia="仿宋_GB2312" w:cs="仿宋_GB2312"/>
                <w:color w:val="auto"/>
                <w:sz w:val="28"/>
                <w:szCs w:val="28"/>
                <w:lang w:val="en-US" w:eastAsia="zh-CN"/>
              </w:rPr>
              <w:t>数字</w:t>
            </w:r>
            <w:r>
              <w:rPr>
                <w:rFonts w:hint="eastAsia" w:ascii="仿宋_GB2312" w:hAnsi="仿宋_GB2312" w:eastAsia="仿宋_GB2312" w:cs="仿宋_GB2312"/>
                <w:color w:val="auto"/>
                <w:sz w:val="28"/>
                <w:szCs w:val="28"/>
                <w:lang w:val="en-US" w:eastAsia="zh"/>
              </w:rPr>
              <w:t>作品</w:t>
            </w:r>
          </w:p>
        </w:tc>
        <w:tc>
          <w:tcPr>
            <w:tcW w:w="1420" w:type="dxa"/>
            <w:noWrap w:val="0"/>
            <w:vAlign w:val="top"/>
          </w:tcPr>
          <w:p w14:paraId="613AFAC9">
            <w:pPr>
              <w:jc w:val="center"/>
              <w:rPr>
                <w:rFonts w:hint="eastAsia" w:ascii="仿宋_GB2312" w:hAnsi="仿宋_GB2312" w:eastAsia="仿宋_GB2312" w:cs="仿宋_GB2312"/>
                <w:color w:val="auto"/>
                <w:sz w:val="28"/>
                <w:szCs w:val="28"/>
                <w:vertAlign w:val="baseline"/>
                <w:lang w:val="en-US" w:eastAsia="zh"/>
              </w:rPr>
            </w:pPr>
            <w:r>
              <w:rPr>
                <w:rFonts w:hint="eastAsia" w:ascii="仿宋_GB2312" w:hAnsi="仿宋_GB2312" w:eastAsia="仿宋_GB2312" w:cs="仿宋_GB2312"/>
                <w:color w:val="auto"/>
                <w:sz w:val="28"/>
                <w:szCs w:val="28"/>
                <w:vertAlign w:val="baseline"/>
                <w:lang w:val="en-US" w:eastAsia="zh"/>
              </w:rPr>
              <w:t>7</w:t>
            </w:r>
          </w:p>
        </w:tc>
        <w:tc>
          <w:tcPr>
            <w:tcW w:w="1420" w:type="dxa"/>
            <w:noWrap w:val="0"/>
            <w:vAlign w:val="top"/>
          </w:tcPr>
          <w:p w14:paraId="719ECFEB">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17</w:t>
            </w:r>
          </w:p>
        </w:tc>
        <w:tc>
          <w:tcPr>
            <w:tcW w:w="1421" w:type="dxa"/>
            <w:noWrap w:val="0"/>
            <w:vAlign w:val="top"/>
          </w:tcPr>
          <w:p w14:paraId="65C1712E">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40</w:t>
            </w:r>
          </w:p>
        </w:tc>
        <w:tc>
          <w:tcPr>
            <w:tcW w:w="1421" w:type="dxa"/>
            <w:noWrap w:val="0"/>
            <w:vAlign w:val="top"/>
          </w:tcPr>
          <w:p w14:paraId="658BFC1D">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50</w:t>
            </w:r>
          </w:p>
        </w:tc>
      </w:tr>
      <w:tr w14:paraId="2924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20" w:type="dxa"/>
            <w:noWrap w:val="0"/>
            <w:vAlign w:val="top"/>
          </w:tcPr>
          <w:p w14:paraId="0DC0B9C5">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科普展演</w:t>
            </w:r>
          </w:p>
        </w:tc>
        <w:tc>
          <w:tcPr>
            <w:tcW w:w="1420" w:type="dxa"/>
            <w:noWrap w:val="0"/>
            <w:vAlign w:val="top"/>
          </w:tcPr>
          <w:p w14:paraId="4C08A992">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2</w:t>
            </w:r>
          </w:p>
        </w:tc>
        <w:tc>
          <w:tcPr>
            <w:tcW w:w="1420" w:type="dxa"/>
            <w:noWrap w:val="0"/>
            <w:vAlign w:val="top"/>
          </w:tcPr>
          <w:p w14:paraId="319832A9">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5</w:t>
            </w:r>
          </w:p>
        </w:tc>
        <w:tc>
          <w:tcPr>
            <w:tcW w:w="1421" w:type="dxa"/>
            <w:noWrap w:val="0"/>
            <w:vAlign w:val="top"/>
          </w:tcPr>
          <w:p w14:paraId="24EC5F84">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14</w:t>
            </w:r>
          </w:p>
        </w:tc>
        <w:tc>
          <w:tcPr>
            <w:tcW w:w="1421" w:type="dxa"/>
            <w:noWrap w:val="0"/>
            <w:vAlign w:val="top"/>
          </w:tcPr>
          <w:p w14:paraId="24F097C9">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
              </w:rPr>
              <w:t>17</w:t>
            </w:r>
          </w:p>
        </w:tc>
      </w:tr>
    </w:tbl>
    <w:p w14:paraId="7B40E99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大赛办公室可根据实际参赛各类作品数量，适当调整拟获奖作品数量的比例。</w:t>
      </w:r>
    </w:p>
    <w:p w14:paraId="11CF64B1">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）决赛参赛作品评分方法</w:t>
      </w:r>
    </w:p>
    <w:p w14:paraId="24AECC23">
      <w:pPr>
        <w:ind w:firstLine="643" w:firstLineChars="200"/>
        <w:rPr>
          <w:rFonts w:hint="eastAsia" w:ascii="方正仿宋_GBK" w:hAnsi="方正仿宋_GBK" w:eastAsia="方正仿宋_GBK" w:cs="方正仿宋_GBK"/>
          <w:b/>
          <w:bCs/>
          <w:color w:val="auto"/>
          <w:sz w:val="32"/>
          <w:szCs w:val="32"/>
        </w:rPr>
      </w:pPr>
      <w:r>
        <w:rPr>
          <w:rFonts w:hint="eastAsia" w:ascii="仿宋_GB2312" w:hAnsi="仿宋_GB2312" w:eastAsia="仿宋_GB2312" w:cs="仿宋_GB2312"/>
          <w:b/>
          <w:bCs/>
          <w:color w:val="auto"/>
          <w:sz w:val="32"/>
          <w:szCs w:val="32"/>
        </w:rPr>
        <w:t>1.评分标准</w:t>
      </w:r>
    </w:p>
    <w:p w14:paraId="5639859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（1）科学性（20分）：参赛作品表达的科学原理正确，对科学知识、思想、方法、精神或文化的表达层次清楚，符合逻辑；</w:t>
      </w:r>
    </w:p>
    <w:p w14:paraId="6F8B155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（2）普及性（20分）：</w:t>
      </w:r>
      <w:r>
        <w:rPr>
          <w:rFonts w:hint="eastAsia" w:ascii="仿宋_GB2312" w:hAnsi="仿宋_GB2312" w:eastAsia="仿宋_GB2312" w:cs="仿宋_GB2312"/>
          <w:color w:val="auto"/>
          <w:kern w:val="0"/>
          <w:sz w:val="32"/>
          <w:szCs w:val="32"/>
        </w:rPr>
        <w:t>易推广普及，通俗易懂，互动性、趣味性强，具有较强的吸引力</w:t>
      </w:r>
      <w:r>
        <w:rPr>
          <w:rFonts w:hint="eastAsia" w:ascii="仿宋_GB2312" w:hAnsi="仿宋_GB2312" w:eastAsia="仿宋_GB2312" w:cs="仿宋_GB2312"/>
          <w:color w:val="auto"/>
          <w:sz w:val="32"/>
          <w:szCs w:val="32"/>
        </w:rPr>
        <w:t>；</w:t>
      </w:r>
    </w:p>
    <w:p w14:paraId="6E68F95E">
      <w:pPr>
        <w:ind w:firstLine="616" w:firstLineChars="200"/>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（3）原创性</w:t>
      </w:r>
      <w:r>
        <w:rPr>
          <w:rFonts w:hint="eastAsia" w:ascii="仿宋_GB2312" w:hAnsi="仿宋_GB2312" w:eastAsia="仿宋_GB2312" w:cs="仿宋_GB2312"/>
          <w:color w:val="auto"/>
          <w:sz w:val="32"/>
          <w:szCs w:val="32"/>
        </w:rPr>
        <w:t>（20分）：</w:t>
      </w:r>
      <w:r>
        <w:rPr>
          <w:rFonts w:hint="eastAsia" w:ascii="仿宋_GB2312" w:hAnsi="仿宋_GB2312" w:eastAsia="仿宋_GB2312" w:cs="仿宋_GB2312"/>
          <w:color w:val="auto"/>
          <w:spacing w:val="-6"/>
          <w:sz w:val="32"/>
          <w:szCs w:val="32"/>
        </w:rPr>
        <w:t>参赛作品须为原创，其他赛事获奖作品不得申报，同一件作品不得反复申报；</w:t>
      </w:r>
    </w:p>
    <w:p w14:paraId="11B31006">
      <w:pPr>
        <w:ind w:firstLine="616" w:firstLineChars="200"/>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（4）专业性</w:t>
      </w:r>
      <w:r>
        <w:rPr>
          <w:rFonts w:hint="eastAsia" w:ascii="仿宋_GB2312" w:hAnsi="仿宋_GB2312" w:eastAsia="仿宋_GB2312" w:cs="仿宋_GB2312"/>
          <w:color w:val="auto"/>
          <w:sz w:val="32"/>
          <w:szCs w:val="32"/>
        </w:rPr>
        <w:t>（20分）：</w:t>
      </w:r>
      <w:r>
        <w:rPr>
          <w:rFonts w:hint="eastAsia" w:ascii="仿宋_GB2312" w:hAnsi="仿宋_GB2312" w:eastAsia="仿宋_GB2312" w:cs="仿宋_GB2312"/>
          <w:color w:val="auto"/>
          <w:spacing w:val="-6"/>
          <w:sz w:val="32"/>
          <w:szCs w:val="32"/>
        </w:rPr>
        <w:t>要紧密结合参赛者的学科专业特长，安全可靠，表现形式和外观造型新颖，鼓励科技资源向科普资源转化;</w:t>
      </w:r>
    </w:p>
    <w:p w14:paraId="1FFF4A48">
      <w:pPr>
        <w:ind w:firstLine="616" w:firstLineChars="200"/>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（5）公正性</w:t>
      </w:r>
      <w:r>
        <w:rPr>
          <w:rFonts w:hint="eastAsia" w:ascii="仿宋_GB2312" w:hAnsi="仿宋_GB2312" w:eastAsia="仿宋_GB2312" w:cs="仿宋_GB2312"/>
          <w:color w:val="auto"/>
          <w:sz w:val="32"/>
          <w:szCs w:val="32"/>
        </w:rPr>
        <w:t>（20分）：</w:t>
      </w:r>
      <w:r>
        <w:rPr>
          <w:rFonts w:hint="eastAsia" w:ascii="仿宋_GB2312" w:hAnsi="仿宋_GB2312" w:eastAsia="仿宋_GB2312" w:cs="仿宋_GB2312"/>
          <w:color w:val="auto"/>
          <w:spacing w:val="-6"/>
          <w:sz w:val="32"/>
          <w:szCs w:val="32"/>
        </w:rPr>
        <w:t>符合科学道德和科研诚信规范，相关科研资源获取合规。参赛作品（含配音）中不得出现参赛者和所在高等学校等相关信息。</w:t>
      </w:r>
    </w:p>
    <w:p w14:paraId="414C52DB">
      <w:pPr>
        <w:ind w:firstLine="640" w:firstLineChars="200"/>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一等奖参赛作品的科学性、普及性、原创性、专业性、公正性得分均不低于15分。</w:t>
      </w:r>
    </w:p>
    <w:p w14:paraId="7AE278C6">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2.评审流程与评分方式</w:t>
      </w:r>
    </w:p>
    <w:p w14:paraId="74CC556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
        </w:rPr>
        <w:t>实体</w:t>
      </w:r>
      <w:r>
        <w:rPr>
          <w:rFonts w:hint="eastAsia" w:ascii="仿宋_GB2312" w:hAnsi="仿宋_GB2312" w:eastAsia="仿宋_GB2312" w:cs="仿宋_GB2312"/>
          <w:color w:val="auto"/>
          <w:sz w:val="32"/>
          <w:szCs w:val="32"/>
        </w:rPr>
        <w:t>科普作品评分</w:t>
      </w:r>
    </w:p>
    <w:p w14:paraId="35C13232">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专家在听取</w:t>
      </w:r>
      <w:r>
        <w:rPr>
          <w:rFonts w:hint="eastAsia" w:ascii="仿宋_GB2312" w:hAnsi="仿宋_GB2312" w:eastAsia="仿宋_GB2312" w:cs="仿宋_GB2312"/>
          <w:color w:val="auto"/>
          <w:sz w:val="32"/>
          <w:szCs w:val="32"/>
          <w:lang w:val="zh-CN"/>
        </w:rPr>
        <w:t>作者逐一的介绍（</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分钟自述，专家问询交流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分钟）后，根据评分标准独立实名给出评分。</w:t>
      </w:r>
    </w:p>
    <w:p w14:paraId="76BE7554">
      <w:pPr>
        <w:numPr>
          <w:ilvl w:val="0"/>
          <w:numId w:val="0"/>
        </w:numPr>
        <w:ind w:firstLine="0" w:firstLineChars="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
        </w:rPr>
        <w:t xml:space="preserve">    （2）</w:t>
      </w:r>
      <w:r>
        <w:rPr>
          <w:rFonts w:hint="eastAsia" w:ascii="仿宋_GB2312" w:hAnsi="仿宋_GB2312" w:eastAsia="仿宋_GB2312" w:cs="仿宋_GB2312"/>
          <w:color w:val="auto"/>
          <w:sz w:val="32"/>
          <w:szCs w:val="32"/>
          <w:lang w:val="zh-CN" w:eastAsia="zh-CN"/>
        </w:rPr>
        <w:t>数字</w:t>
      </w:r>
      <w:r>
        <w:rPr>
          <w:rFonts w:hint="eastAsia" w:ascii="仿宋_GB2312" w:hAnsi="仿宋_GB2312" w:eastAsia="仿宋_GB2312" w:cs="仿宋_GB2312"/>
          <w:color w:val="auto"/>
          <w:sz w:val="32"/>
          <w:szCs w:val="32"/>
          <w:lang w:val="zh-CN"/>
        </w:rPr>
        <w:t>科普</w:t>
      </w:r>
      <w:r>
        <w:rPr>
          <w:rFonts w:hint="eastAsia" w:ascii="仿宋_GB2312" w:hAnsi="仿宋_GB2312" w:eastAsia="仿宋_GB2312" w:cs="仿宋_GB2312"/>
          <w:color w:val="auto"/>
          <w:sz w:val="32"/>
          <w:szCs w:val="32"/>
          <w:lang w:val="en-US" w:eastAsia="zh-CN"/>
        </w:rPr>
        <w:t>作品</w:t>
      </w:r>
      <w:r>
        <w:rPr>
          <w:rFonts w:hint="eastAsia" w:ascii="仿宋_GB2312" w:hAnsi="仿宋_GB2312" w:eastAsia="仿宋_GB2312" w:cs="仿宋_GB2312"/>
          <w:color w:val="auto"/>
          <w:sz w:val="32"/>
          <w:szCs w:val="32"/>
          <w:lang w:val="zh-CN"/>
        </w:rPr>
        <w:t>评分</w:t>
      </w:r>
    </w:p>
    <w:p w14:paraId="0813696E">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专家在听取</w:t>
      </w:r>
      <w:r>
        <w:rPr>
          <w:rFonts w:hint="eastAsia" w:ascii="仿宋_GB2312" w:hAnsi="仿宋_GB2312" w:eastAsia="仿宋_GB2312" w:cs="仿宋_GB2312"/>
          <w:color w:val="auto"/>
          <w:sz w:val="32"/>
          <w:szCs w:val="32"/>
          <w:lang w:val="zh-CN"/>
        </w:rPr>
        <w:t>作者逐一的介绍（</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分钟自述，专家问询交流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分钟）后，根据评分标准独立实名给出评分。</w:t>
      </w:r>
    </w:p>
    <w:p w14:paraId="37883845">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eastAsia="zh"/>
        </w:rPr>
        <w:t>3</w:t>
      </w:r>
      <w:r>
        <w:rPr>
          <w:rFonts w:hint="eastAsia" w:ascii="仿宋_GB2312" w:hAnsi="仿宋_GB2312" w:eastAsia="仿宋_GB2312" w:cs="仿宋_GB2312"/>
          <w:color w:val="auto"/>
          <w:sz w:val="32"/>
          <w:szCs w:val="32"/>
          <w:lang w:val="zh-CN"/>
        </w:rPr>
        <w:t>）科普展演评分</w:t>
      </w:r>
    </w:p>
    <w:p w14:paraId="395454BA">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专家在观看参赛选手的展演（</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展演</w:t>
      </w:r>
      <w:r>
        <w:rPr>
          <w:rFonts w:hint="eastAsia" w:ascii="仿宋_GB2312" w:hAnsi="仿宋_GB2312" w:eastAsia="仿宋_GB2312" w:cs="仿宋_GB2312"/>
          <w:color w:val="auto"/>
          <w:sz w:val="32"/>
          <w:szCs w:val="32"/>
          <w:lang w:val="en-US" w:eastAsia="zh-CN"/>
        </w:rPr>
        <w:t>或</w:t>
      </w:r>
      <w:bookmarkStart w:id="0" w:name="_GoBack"/>
      <w:bookmarkEnd w:id="0"/>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自述</w:t>
      </w:r>
      <w:r>
        <w:rPr>
          <w:rFonts w:hint="eastAsia" w:ascii="仿宋_GB2312" w:hAnsi="仿宋_GB2312" w:eastAsia="仿宋_GB2312" w:cs="仿宋_GB2312"/>
          <w:color w:val="auto"/>
          <w:sz w:val="32"/>
          <w:szCs w:val="32"/>
        </w:rPr>
        <w:t>、专家询问交流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val="zh-CN"/>
        </w:rPr>
        <w:t>）后，根据评分标准独立实名给出评分。</w:t>
      </w:r>
    </w:p>
    <w:p w14:paraId="7536BAD0">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
        </w:rPr>
        <w:t>4</w:t>
      </w:r>
      <w:r>
        <w:rPr>
          <w:rFonts w:hint="eastAsia" w:ascii="仿宋_GB2312" w:hAnsi="仿宋_GB2312" w:eastAsia="仿宋_GB2312" w:cs="仿宋_GB2312"/>
          <w:color w:val="auto"/>
          <w:sz w:val="32"/>
          <w:szCs w:val="32"/>
          <w:lang w:val="zh-CN"/>
        </w:rPr>
        <w:t>）总分计算</w:t>
      </w:r>
    </w:p>
    <w:p w14:paraId="2F35F7E8">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评分工作结束后，大赛承办单位对专家评分采取去除最高分、最低分后得到的平均分为参赛作品的专家评审得分。并按照专家评审得分占</w:t>
      </w:r>
      <w:r>
        <w:rPr>
          <w:rFonts w:hint="eastAsia" w:ascii="仿宋_GB2312" w:hAnsi="仿宋_GB2312" w:eastAsia="仿宋_GB2312" w:cs="仿宋_GB2312"/>
          <w:color w:val="auto"/>
          <w:sz w:val="32"/>
          <w:szCs w:val="32"/>
        </w:rPr>
        <w:t>95</w:t>
      </w:r>
      <w:r>
        <w:rPr>
          <w:rFonts w:hint="eastAsia" w:ascii="仿宋_GB2312" w:hAnsi="仿宋_GB2312" w:eastAsia="仿宋_GB2312" w:cs="仿宋_GB2312"/>
          <w:color w:val="auto"/>
          <w:sz w:val="32"/>
          <w:szCs w:val="32"/>
          <w:lang w:val="zh-CN"/>
        </w:rPr>
        <w:t>%、网络投票得分占</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CN"/>
        </w:rPr>
        <w:t>%，计算得出参赛作品最终得分。</w:t>
      </w:r>
    </w:p>
    <w:p w14:paraId="564BA13C">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
        </w:rPr>
        <w:t>5</w:t>
      </w:r>
      <w:r>
        <w:rPr>
          <w:rFonts w:hint="eastAsia" w:ascii="仿宋_GB2312" w:hAnsi="仿宋_GB2312" w:eastAsia="仿宋_GB2312" w:cs="仿宋_GB2312"/>
          <w:color w:val="auto"/>
          <w:sz w:val="32"/>
          <w:szCs w:val="32"/>
          <w:lang w:val="zh-CN"/>
        </w:rPr>
        <w:t>）特等奖评定</w:t>
      </w:r>
    </w:p>
    <w:p w14:paraId="737D3237">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特等奖由决赛评审专家委员会讨论投票决定。</w:t>
      </w:r>
    </w:p>
    <w:p w14:paraId="4BFEAB13">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3.补充说明</w:t>
      </w:r>
    </w:p>
    <w:p w14:paraId="30D7EAE6">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当参赛作品总分相同且影响到作品奖项等次时，</w:t>
      </w:r>
      <w:r>
        <w:rPr>
          <w:rFonts w:hint="eastAsia" w:ascii="仿宋_GB2312" w:hAnsi="仿宋_GB2312" w:eastAsia="仿宋_GB2312" w:cs="仿宋_GB2312"/>
          <w:color w:val="auto"/>
          <w:sz w:val="32"/>
          <w:szCs w:val="32"/>
          <w:lang w:val="zh-CN"/>
        </w:rPr>
        <w:t>由决赛评审专家委员会讨论并提出明确意见。</w:t>
      </w:r>
    </w:p>
    <w:p w14:paraId="093EF3F7">
      <w:pPr>
        <w:ind w:firstLine="640" w:firstLineChars="200"/>
        <w:rPr>
          <w:rFonts w:hint="eastAsia" w:ascii="楷体_GB2312" w:hAnsi="楷体_GB2312" w:eastAsia="楷体_GB2312" w:cs="楷体_GB2312"/>
          <w:color w:val="auto"/>
          <w:sz w:val="32"/>
          <w:szCs w:val="32"/>
          <w:lang w:val="zh-CN"/>
        </w:rPr>
      </w:pPr>
      <w:r>
        <w:rPr>
          <w:rFonts w:hint="eastAsia" w:ascii="楷体_GB2312" w:hAnsi="楷体_GB2312" w:eastAsia="楷体_GB2312" w:cs="楷体_GB2312"/>
          <w:color w:val="auto"/>
          <w:sz w:val="32"/>
          <w:szCs w:val="32"/>
          <w:lang w:val="zh-CN"/>
        </w:rPr>
        <w:t>（二）团体优胜奖评分办法</w:t>
      </w:r>
    </w:p>
    <w:p w14:paraId="68CF720F">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团体优胜奖由大赛承办单位对每个参赛高校的参赛作品获奖情况进行综合评分，细则如下。</w:t>
      </w:r>
    </w:p>
    <w:p w14:paraId="0969E2FB">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按照参赛高校特等奖作品数×0.3 +一等奖作品数×0.25 + 二等奖作品数×0.2+三等奖作品数×0.15+优秀奖作品数×0.1，计算出单个参赛高校团体得分。</w:t>
      </w:r>
    </w:p>
    <w:p w14:paraId="1AFF64D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对全部参赛高校团体得分进行降序排列，得分前</w:t>
      </w:r>
      <w:r>
        <w:rPr>
          <w:rFonts w:hint="eastAsia" w:ascii="仿宋_GB2312" w:hAnsi="仿宋_GB2312" w:eastAsia="仿宋_GB2312" w:cs="仿宋_GB2312"/>
          <w:color w:val="auto"/>
          <w:sz w:val="32"/>
          <w:szCs w:val="32"/>
        </w:rPr>
        <w:t>3名的，为团体优胜奖。</w:t>
      </w:r>
    </w:p>
    <w:p w14:paraId="76BA9DBE">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（三）优秀组织奖评分办法</w:t>
      </w:r>
    </w:p>
    <w:p w14:paraId="6F985BB9">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优秀组织奖由大赛承办单位对每个参赛高校的赛事组织情况进行综合评分，细则如下。</w:t>
      </w:r>
    </w:p>
    <w:p w14:paraId="705142D1">
      <w:pPr>
        <w:ind w:firstLine="643" w:firstLineChars="200"/>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1.举办校内赛事活动得分（</w:t>
      </w:r>
      <w:r>
        <w:rPr>
          <w:rFonts w:hint="eastAsia" w:ascii="仿宋_GB2312" w:hAnsi="仿宋_GB2312" w:eastAsia="仿宋_GB2312" w:cs="仿宋_GB2312"/>
          <w:b/>
          <w:bCs/>
          <w:color w:val="auto"/>
          <w:sz w:val="32"/>
          <w:szCs w:val="32"/>
          <w:lang w:val="en-US" w:eastAsia="zh-CN"/>
        </w:rPr>
        <w:t>40分</w:t>
      </w:r>
      <w:r>
        <w:rPr>
          <w:rFonts w:hint="eastAsia" w:ascii="仿宋_GB2312" w:hAnsi="仿宋_GB2312" w:eastAsia="仿宋_GB2312" w:cs="仿宋_GB2312"/>
          <w:b/>
          <w:bCs/>
          <w:color w:val="auto"/>
          <w:sz w:val="32"/>
          <w:szCs w:val="32"/>
          <w:lang w:val="zh-CN"/>
        </w:rPr>
        <w:t>）</w:t>
      </w:r>
    </w:p>
    <w:p w14:paraId="479D061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（1）机构设置（10分）：高度重视大赛活动，有专门机构和人员负责大赛组织工作，高校需提交负责机构、负责人员相关信息材料（需加盖公章），每项分值5分。</w:t>
      </w:r>
    </w:p>
    <w:p w14:paraId="3217879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（2）资源支撑（10分）：高校大赛负责机构统筹协调校内财政（校赛奖励）、人力、物力、场地、设备等给参赛师生提供资源支持。高校需提交相关证明材料（需加盖公章），每项分值2分。</w:t>
      </w:r>
    </w:p>
    <w:p w14:paraId="55002544">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预赛选拔（20分）：负责组织开展校内优秀作品选拔评审活动，根据预赛评审规则，按时向大赛办公室报送优秀科普作品材料。包含人员信息相关材料、作品提交相关材料、作品查重相关材料、预赛组织评选材料（作品审查、组织选拔、评审打分、公示结果、后续辅导等相关过程证明材料）、相关音视频附件材料等（需加盖公章），每项分值4分。</w:t>
      </w:r>
    </w:p>
    <w:p w14:paraId="1F17C846">
      <w:pPr>
        <w:ind w:firstLine="643" w:firstLineChars="200"/>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2.开展宣传推广活动得分（</w:t>
      </w: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zh-CN"/>
        </w:rPr>
        <w:t>0分）</w:t>
      </w:r>
    </w:p>
    <w:p w14:paraId="761E115E">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宣传推广（5分）：根据使用的宣传渠道多样性及其实际效果进行评分。高校可通过官方网站、微信公众号、官方微博、校园宣传栏、校园APP等，印刷媒体、社交媒体和即时通讯平台发布大赛相关信息。高校需提交宣传渠道网址、截图等相关证明材料</w:t>
      </w:r>
      <w:r>
        <w:rPr>
          <w:rFonts w:hint="eastAsia" w:ascii="仿宋_GB2312" w:hAnsi="仿宋_GB2312" w:eastAsia="仿宋_GB2312" w:cs="仿宋_GB2312"/>
          <w:color w:val="auto"/>
          <w:sz w:val="32"/>
          <w:szCs w:val="32"/>
        </w:rPr>
        <w:t>（需加盖公章）</w:t>
      </w:r>
      <w:r>
        <w:rPr>
          <w:rFonts w:hint="eastAsia" w:ascii="仿宋_GB2312" w:hAnsi="仿宋_GB2312" w:eastAsia="仿宋_GB2312" w:cs="仿宋_GB2312"/>
          <w:color w:val="auto"/>
          <w:sz w:val="32"/>
          <w:szCs w:val="32"/>
          <w:lang w:val="zh-CN"/>
        </w:rPr>
        <w:t>，每项分值1分。</w:t>
      </w:r>
    </w:p>
    <w:p w14:paraId="01823FAD">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宣传参与度（5分）：根据宣传活动提高对竞赛的关注度，扩大赛事影响力。参与度得分按社交媒体和即时通讯平台的浏览量的总得分从高到低排序评分，最高的学校得分为满分5分，其他学校参与度得分为（该校总浏览量/满分学校总浏览量）×5。其中参赛高校所属社交媒体和即时通讯平台的总浏览量，由高校提供网址、截图等相关证明材料（需加盖公章）。</w:t>
      </w:r>
    </w:p>
    <w:p w14:paraId="14296718">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宣讲培训（10分）：举办大赛校内宣讲培训等相关活动。当活动参与人数为100人时，分值为2分。随着参与人数的增加，每增加100人，分值相应增加2分。当参与人数达到500人时，分值达到10分。高校需提交宣讲培训活动照片、签到表等相关证明材料（需加盖公章）。</w:t>
      </w:r>
    </w:p>
    <w:p w14:paraId="1D80FC3E">
      <w:pPr>
        <w:ind w:firstLine="643" w:firstLineChars="200"/>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3.学生参赛率得分（</w:t>
      </w:r>
      <w:r>
        <w:rPr>
          <w:rFonts w:hint="eastAsia"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lang w:val="zh-CN"/>
        </w:rPr>
        <w:t>0分）。</w:t>
      </w:r>
    </w:p>
    <w:p w14:paraId="41C88BD9">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学校学生参赛率（大赛官网注册参赛学生量/学校在校学生总数）最高的学校得分为满分</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0分，其他学校参赛率为（该校学生参赛率</w:t>
      </w:r>
      <w:r>
        <w:rPr>
          <w:rFonts w:hint="eastAsia" w:ascii="仿宋_GB2312" w:hAnsi="仿宋_GB2312" w:eastAsia="仿宋_GB2312" w:cs="仿宋_GB2312"/>
          <w:color w:val="auto"/>
          <w:sz w:val="32"/>
          <w:szCs w:val="32"/>
        </w:rPr>
        <w:t>/满分学校学生参赛率）×40。其中</w:t>
      </w:r>
      <w:r>
        <w:rPr>
          <w:rFonts w:hint="eastAsia" w:ascii="仿宋_GB2312" w:hAnsi="仿宋_GB2312" w:eastAsia="仿宋_GB2312" w:cs="仿宋_GB2312"/>
          <w:color w:val="auto"/>
          <w:sz w:val="32"/>
          <w:szCs w:val="32"/>
          <w:lang w:eastAsia="zh-CN"/>
        </w:rPr>
        <w:t>官网</w:t>
      </w:r>
      <w:r>
        <w:rPr>
          <w:rFonts w:hint="eastAsia" w:ascii="仿宋_GB2312" w:hAnsi="仿宋_GB2312" w:eastAsia="仿宋_GB2312" w:cs="仿宋_GB2312"/>
          <w:color w:val="auto"/>
          <w:sz w:val="32"/>
          <w:szCs w:val="32"/>
        </w:rPr>
        <w:t>参赛学生数量由大赛承办单位提供，</w:t>
      </w:r>
      <w:r>
        <w:rPr>
          <w:rFonts w:hint="eastAsia" w:ascii="仿宋_GB2312" w:hAnsi="仿宋_GB2312" w:eastAsia="仿宋_GB2312" w:cs="仿宋_GB2312"/>
          <w:color w:val="auto"/>
          <w:sz w:val="32"/>
          <w:szCs w:val="32"/>
          <w:lang w:val="zh-CN"/>
        </w:rPr>
        <w:t>学校在校学生总数由各学校提供（需加盖公章）。</w:t>
      </w:r>
    </w:p>
    <w:p w14:paraId="745505E5">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根据全部参赛高校</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zh-CN"/>
        </w:rPr>
        <w:t>最终总得分从高到低排序，得分排名前10名的高校授予优秀组织奖。</w:t>
      </w:r>
    </w:p>
    <w:p w14:paraId="4A13FA72">
      <w:pPr>
        <w:ind w:firstLine="640" w:firstLineChars="200"/>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三、其他</w:t>
      </w:r>
    </w:p>
    <w:p w14:paraId="181294D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eastAsia="zh"/>
        </w:rPr>
        <w:t>决赛接受</w:t>
      </w:r>
      <w:r>
        <w:rPr>
          <w:rFonts w:hint="eastAsia" w:ascii="仿宋_GB2312" w:hAnsi="仿宋_GB2312" w:eastAsia="仿宋_GB2312" w:cs="仿宋_GB2312"/>
          <w:color w:val="auto"/>
          <w:sz w:val="32"/>
          <w:szCs w:val="32"/>
          <w:lang w:val="zh-CN"/>
        </w:rPr>
        <w:t>省纪委监委驻省科技厅纪检监察组</w:t>
      </w:r>
      <w:r>
        <w:rPr>
          <w:rFonts w:hint="eastAsia" w:ascii="仿宋_GB2312" w:hAnsi="仿宋_GB2312" w:eastAsia="仿宋_GB2312" w:cs="仿宋_GB2312"/>
          <w:color w:val="auto"/>
          <w:sz w:val="32"/>
          <w:szCs w:val="32"/>
          <w:lang w:val="zh-CN" w:eastAsia="zh"/>
        </w:rPr>
        <w:t>和</w:t>
      </w:r>
      <w:r>
        <w:rPr>
          <w:rFonts w:hint="eastAsia" w:ascii="仿宋_GB2312" w:hAnsi="仿宋_GB2312" w:eastAsia="仿宋_GB2312" w:cs="仿宋_GB2312"/>
          <w:color w:val="auto"/>
          <w:sz w:val="32"/>
          <w:szCs w:val="32"/>
          <w:lang w:val="zh-CN"/>
        </w:rPr>
        <w:t>省科协机关纪委</w:t>
      </w:r>
      <w:r>
        <w:rPr>
          <w:rFonts w:hint="eastAsia" w:ascii="仿宋_GB2312" w:hAnsi="仿宋_GB2312" w:eastAsia="仿宋_GB2312" w:cs="仿宋_GB2312"/>
          <w:color w:val="auto"/>
          <w:sz w:val="32"/>
          <w:szCs w:val="32"/>
          <w:lang w:val="zh-CN" w:eastAsia="zh"/>
        </w:rPr>
        <w:t>对本届双百大赛</w:t>
      </w:r>
      <w:r>
        <w:rPr>
          <w:rFonts w:hint="eastAsia" w:ascii="仿宋_GB2312" w:hAnsi="仿宋_GB2312" w:eastAsia="仿宋_GB2312" w:cs="仿宋_GB2312"/>
          <w:color w:val="auto"/>
          <w:sz w:val="32"/>
          <w:szCs w:val="32"/>
          <w:lang w:val="zh-CN"/>
        </w:rPr>
        <w:t>监督。</w:t>
      </w:r>
    </w:p>
    <w:p w14:paraId="3AE106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FB9456-395F-4351-95B3-AFA19EC527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5590E69-788E-4CB5-AB36-9036E2169424}"/>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D103309-E4A4-4CFC-85CF-645E3140B044}"/>
  </w:font>
  <w:font w:name="楷体_GB2312">
    <w:panose1 w:val="02010609030101010101"/>
    <w:charset w:val="86"/>
    <w:family w:val="modern"/>
    <w:pitch w:val="default"/>
    <w:sig w:usb0="00000001" w:usb1="080E0000" w:usb2="00000000" w:usb3="00000000" w:csb0="00040000" w:csb1="00000000"/>
    <w:embedRegular r:id="rId4" w:fontKey="{D1DC0189-DA02-46C5-B6D7-2B20D28622AA}"/>
  </w:font>
  <w:font w:name="方正仿宋_GBK">
    <w:panose1 w:val="02000000000000000000"/>
    <w:charset w:val="86"/>
    <w:family w:val="script"/>
    <w:pitch w:val="default"/>
    <w:sig w:usb0="A00002BF" w:usb1="38CF7CFA" w:usb2="00082016" w:usb3="00000000" w:csb0="00040001" w:csb1="00000000"/>
    <w:embedRegular r:id="rId5" w:fontKey="{9854787B-F085-4CFC-9418-C142378445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F3C71"/>
    <w:rsid w:val="026B0505"/>
    <w:rsid w:val="5A4F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2354</Words>
  <Characters>2430</Characters>
  <Lines>0</Lines>
  <Paragraphs>0</Paragraphs>
  <TotalTime>0</TotalTime>
  <ScaleCrop>false</ScaleCrop>
  <LinksUpToDate>false</LinksUpToDate>
  <CharactersWithSpaces>2437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2025-05-27T01:13:00Z</dcterms:created>
  <dc:creator>杨泰一</dc:creator>
  <cp:lastModifiedBy>杨泰一</cp:lastModifiedBy>
  <dcterms:modified xsi:type="dcterms:W3CDTF">2025-05-27T01:16:23Z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66A0339D61214C3B9C143AF21C42D523_11</vt:lpwstr>
  </property>
  <property fmtid="{D5CDD505-2E9C-101B-9397-08002B2CF9AE}" pid="4" name="KSOTemplateDocerSaveRecord">
    <vt:lpwstr>eyJoZGlkIjoiZmE1NWM2NWE5Yzc5YmE4ODliMjFiNGFlMDgwOTZjMmUiLCJ1c2VySWQiOiI1NTI0NTUwMjgifQ==</vt:lpwstr>
  </property>
</Properties>
</file>